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TJRJ</w:t>
      </w:r>
    </w:p>
    <w:p>
      <w:r>
        <w:rPr>
          <w:b/>
          <w:bCs/>
        </w:rPr>
        <w:t xml:space="preserve">Relator: </w:t>
      </w:r>
      <w:r>
        <w:t xml:space="preserve">Sérgio Cavalieri Filho</w:t>
      </w:r>
    </w:p>
    <w:p/>
    <w:p>
      <w:r>
        <w:t xml:space="preserve">BANCO — HIPOTECA - COBRANÇA - TAXA DE CONDOMÍNIO - CRÉDITO HIPOTECÁRIO - PREFERÊNCIA - ART. 527/CPC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RELATOR DA ...ª CÂMARA CÍVEL DO EGRÉGIO TRIBUNAL DE JUSTIÇA DO ESTADO DO... ..., situado nesta Capital, na Rua ..., n.º ..., por intermédio de sua procuradora judicial infra-assinada, inscrita na OAB...sob o nº ..., com escritório nesta Capital, na rua ..., conjs. ..., onde recebe intimações, vem muito respeitosamente perante esse Egrégio Tribunal, com fulcro no artigo 527 e segs. do Código de Processo Civil, apresentar CONTRA-RAZÕES AO AGRAVO DE INSTRUMENTO n.º ... Interposto pelo ..., contra a respeitável decisão do MM. Juiz de Direito da ... Vara Cível desta Capital, nos autos nº ..., o que faz pelas seguintes razões de fato e de direito adiante expostas: I - DOS FATOS Ingressou o ora Credor, perante o douto Juízo de Direito da ...ª Vara Cível desta Capital, com ação de Sumária de Cobrança contra... objetivando o recebimento das taxas de condomínio em atraso. Na audiência de conciliação foi realizado acordo, o qual não foi cumprido pelos réus. Os réus foram citados para pagamento em 24 horas, não o fazendo. O apartamento que deu causa às taxas de condomínio em débito foi penhorado (fls.). Novo acordo foi realizado (fls.), o qual não foi cumprido totalmente pelos réus. A ação teve prosseguimento, com a elaboração da conta geral (fls.), e com a avaliação do bem penhorado (fls.). O autor concordou com o cálculo e com a avaliação, requerendo a intimação do credor hipotecário acerca da penhora realizada. O Banco ... requereu a preferência no produto de eventual arrematação do bem, e em pedido alternativo, o levantamento da penhora. O juiz "a quo" indeferiu o pedido do Banco ... de preferência em futura arrematação, tendo o credor hipotecário apresentado o presente agravo de instrumento. II - DAS RAZÕES DO AGRAVADO A respeitável decisão de fls.. dos autos de Sumária de Cobrança (fls. e segs. do agravo), que indeferiu o pedido do ... de preferência em futura arrematação, deve ser integralmente mantida. O MM. Juiz "a quo" fundamentou sua decisão baseando-se no critério da anterioridade da penhora, discorrendo que: "Isso porque, assim não se interpretando, frustraria a concretização do direito amparado no processo executivo, e mais, o tornaria inócuo e desprovido do poder sancionatório do Estado, extirpando a segurança jurídica do credor - mesmo que com inauguração de atos expropriação". A decisão também foi fundamentada na situação dos dois credores, caracterizando-se a relação do Banco... como de consumo, considerando que almeja assegurar o adimplemento de contrato de financiamento, enquanto que o condomínio pretende o recebimento do valor das taxas. Foi analisada também a questão que o credor hipotecário até o momento não ajuizou a competente execução, não tendo iniciativa de estancar o débito existente. PREFERÊNCIA NO PAGAMENTO DAS TAXAS DE CONDOMÍNIO É importante salientar que as dívidas de condomínio seguem sempre o imóvel, tidas "propter rem", respondendo o imóvel na sua totalidade pelo débito, não havendo prioridade no pagamento do credor hipotecário, ante ao crédito do condomínio, sendo este o entendimento dos tribunais: DESPESAS CONDOMINIAIS - PENHORA DO IMÓVEL HIPOTECADO - ARREMATAÇÃO - CANCELAMENTO DE HIPOTECA - REGISTRO DE IMÓVEIS - ART. 649 - ART. 826 - C.P.C. - Hipoteca. Despesas Condominiais. Execução do Imóvel Hipotecado. Possibilidade. Extinção da Hipoteca Pela Arrematação. Preferência do Crédito do Condomínio. Conclui-se pela possibilidade da execução de imóvel hipotecado, destinada ao pagamento de dívida condominial, tendo em vista que a única exigência que a lei faz, para a validade da sua venda judicial, é a notificação do respectivo credor. Conquanto tenha o artigo 849, VII, do Código Civil suscitado algumas dúvidas inicialmente, dando margem a que alguns sustentassem que só a arrematação efetuada no próprio executivo hipotecário extingue a hipoteca, doutrina e jurisprudência modernas firmaram-se no sentido de que a e xtinção também se verifica em qualquer venda efetuada em hasta pública, desde que regularmente notificado o credor hipotecário, sub-rogando-se o gravame no produto da arrematação. As despesas condominiais não constituem dívida do proprietário condômino, mas sim encargos da própria coisa, na medida em que decorrem de despesas necessárias à sua conservação e subsistência. São gravames propter rem, estabelecidos para a preservação do conjunto condominial, pelo que acompanham a coisa e são por ela garantidos, seja quem for o seu dono. Destarte, em caso de execução por déb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2026-07-28T04:04:13.036Z</dcterms:created>
  <dcterms:modified xsi:type="dcterms:W3CDTF">2026-07-28T04:04:13.036Z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