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>
      <w:r>
        <w:rPr>
          <w:b/>
          <w:bCs/>
        </w:rPr>
        <w:t xml:space="preserve">Recurso: </w:t>
      </w:r>
      <w:r>
        <w:t xml:space="preserve">MS 4.762-</w:t>
      </w:r>
    </w:p>
    <w:p/>
    <w:p>
      <w:r>
        <w:t xml:space="preserve">ESTABELECIMENTO DE CRÉDITO — SUA RESPONSABILIDADE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estabelecimento de crédito que recebe dinheiro, em depósito judicial, responde pelo pagamento da correção monetária relativa aos valores recolhidos. Referência: CC, art. 1.286. RMS 4.762-SP (1ªT 20/03/95 - DJ 17/04/95). REsp 39.850-PR (3ªT 30/11/93 - DJ 07/02/94). RMS 5.898-SP (3ªT 19/09/95 - DJ 27/11/95). EDcl no REsp 52.155-SP (3ªT 31/10/95 - DJ 04/12/95). REsp 37.112-SP (4ªT 14/09/93 - DJ 08/11/93). RMS 4.953-SP (4ªT 12/12/94 - DJ 20/02/95). AgRg no Ag 59.460-RS (4ªT 24/10/95 - DJ 11/12/95). DJ 18.02.97, Pág. 2414 Arquivo do EMFOR EMFOR - Nº 573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2026-10-26T04:33:10.725Z</dcterms:created>
  <dcterms:modified xsi:type="dcterms:W3CDTF">2026-10-26T04:33:10.725Z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