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AÇÃO RESULTANTE DE DOLO OU CULPA</w:t>
      </w:r>
    </w:p>
    <w:p/>
    <w:p>
      <w:r>
        <w:rPr>
          <w:b/>
          <w:bCs/>
        </w:rPr>
        <w:t xml:space="preserve">Recurso: </w:t>
      </w:r>
      <w:r>
        <w:t xml:space="preserve">RE 106.924</w:t>
      </w:r>
    </w:p>
    <w:p/>
    <w:p>
      <w:r>
        <w:t xml:space="preserve">APOSENTADORIA ESPECIAL — SE NÃO ACUMULÁVEIS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primeiro lugar, afasto os vetos regimentais em face do acolhimento da argüição de relevância. - A matéria já se acha pacificada nesta Corte no sentido da inacumulatividade da aposentadoria especial com a aposentadoria acidentária por invalidez. - Nesta diretriz são os RE 106.924, Rel. min. CORDEIRO GUERRA, RE 108.659, Rel. min. OSCAR CORRÊA e RE 106.952, Min. ALDIR PASSARINHO. - Deram provimento ao recurso para julgar improcedente a ação. Ac. de 27-02-1987 Revista Trimestral de Jurisprudência, Vol 120 - Maio, 1987 - Pág. 899. EMFOR 474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São inacumuláveis a aposentadoria especial com a aposentadoria por invalidez acidentária.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2026-07-27T23:36:01.733Z</dcterms:created>
  <dcterms:modified xsi:type="dcterms:W3CDTF">2026-07-27T23:36:01.733Z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