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>
      <w:r>
        <w:rPr>
          <w:b/>
          <w:bCs/>
        </w:rPr>
        <w:t xml:space="preserve">Recurso: </w:t>
      </w:r>
      <w:r>
        <w:t xml:space="preserve">RE 106.924</w:t>
      </w:r>
    </w:p>
    <w:p/>
    <w:p>
      <w:r>
        <w:t xml:space="preserve">APOSENTADORIA ESPECIAL — SE NÃO ACUMULÁVEIS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Em primeiro lugar, afasto os vetos regimentais em face do acolhimento da argüição de relevância. - A matéria já se acha pacificada nesta Corte no sentido da inacumulatividade da aposentadoria especial com a aposentadoria acidentária por invalidez. - Nesta diretriz são os RE 106.924, Rel. min. CORDEIRO GUERRA, RE 108.659, Rel. min. OSCAR CORRÊA e RE 106.952, Min. ALDIR PASSARINHO. - Deram provimento ao recurso para julgar improcedente a ação. Ac. de 27-02-1987 Revista Trimestral de Jurisprudência, Vol 120 - Maio, 1987 - Pág. 899. EMFOR 474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São inacumuláveis a aposentadoria especial com a aposentadoria por invalidez acidentária.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2026-09-11T06:19:41.484Z</dcterms:created>
  <dcterms:modified xsi:type="dcterms:W3CDTF">2026-09-11T06:19:41.484Z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