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SUCESSÕES</w:t>
      </w:r>
    </w:p>
    <w:p>
      <w:r>
        <w:rPr>
          <w:i/>
          <w:iCs/>
          <w:color w:val="666666"/>
        </w:rPr>
        <w:t xml:space="preserve">INVENTÁRIO PELO RITO DE ARROLAMENTO</w:t>
      </w:r>
    </w:p>
    <w:p/>
    <w:p/>
    <w:p>
      <w:r>
        <w:t xml:space="preserve">INVENTÁRIO — PRIMEIRAS DECLARAÇÕES - NOMEAÇÃO DE INVENTARIANTE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DE CÍVEL DE ... ..., brasileiro, solteiro, administrador, portador da CI RG sob nº ... residente e domiciliado na Rua ... apto ... em ...vêm, respeitosamente, perante Vossa Excelência, por seus procuradores e advogados in fine assinados, com escritório profissional no endereço abaixo impresso, onde comumente recebem intimações e notificações, requerer a abertura do INVENTÁRIO do seu Pai ...falecido no dia ...conforme faz prova a certidão de Óbito anexa, tudo em conformidade com art. 988, inciso II do CPC. Requer, ainda, seja nomeado o autor inventariamente, com base no art. 990, inciso II do CPC, pois o mesmo se acha na posse e administração do espólio, não havendo cônjuge supérstite, uma vez que o falecido era viúvo. Dá-se à causa, para efeitos meramente fiscais, o valor de ... Nestes termos, Pede deferimento. ...,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2026-07-28T00:07:53.322Z</dcterms:created>
  <dcterms:modified xsi:type="dcterms:W3CDTF">2026-07-28T00:07:53.322Z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