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CIRÚRGICA</w:t>
      </w:r>
    </w:p>
    <w:p/>
    <w:p>
      <w:r>
        <w:rPr>
          <w:b/>
          <w:bCs/>
        </w:rPr>
        <w:t xml:space="preserve">Recurso: </w:t>
      </w:r>
      <w:r>
        <w:t xml:space="preserve">Apelação Cível 8.451/2001</w:t>
      </w:r>
    </w:p>
    <w:p/>
    <w:p>
      <w:r>
        <w:t xml:space="preserve">REMEMBRAMENTO DE LOTES — UNIFORMIDADE DAS FRAÇÕES IDEAIS - PREVALÊNCIA DA CONVENÇÃO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vinda de pena brilhante, não me parece que a sentença de primeiro grau tenha dado a adequada e jurídica solução ao conflito de interesses. - Como registra a sentença, o réu não contesta sua obrigação de contribuir com o rateio das despesas comuns, mas simplesmente se insurge contra o critério estabelecido na denominada convenção de condomínio pretendendo, em pedido contraposto, ver declarado o seu direito de pagar sua contribuição na proporção correspondente a apenas um lote de terreno, considerando que promoveu o remembramento de um dos dois lotes que possuía, passando, a partir de então a ser proprietário de apenas um. - Primeiramente, importa-me registrar a minha divergência em relação ao ponto de vista, sustentado pelo ilustre julgador de primeiro grau, em sua sentença de que não se identifica no caso em concreto a figura do condomínio. - A propósito permito-me reproduzir os argumentos de que usei no julgamento da Apelação Cível nº 8.451/2001, de minha relatoria, na 2ª Câmara Cível deste Tribunal, julgada em 16-10-2001 que se amoldam com perfeição à espécie. "O fato de tratar-se de loteamento, regulado pela Lei nº 6.766/79, bem assim, de que as vias de acesso, praças e áreas de lazer sejam consideradas de domínio público e estejam sujeitas à administração municipal, por si só, não é suficiente para descaracterizar a constituição do condomínio especial, fruto do espírito que presidiu as partes contratantes." - No caso em concreto, vê-se que, lançado o empreendimento imobiliário, os proprietários, adquirentes e cessionários decidiram constituir o condomínio, submetendo-se, livre e soberanamente a um sistema unitário, com intuito de melhor administrar as áreas de uso comum dos titulares dos direitos sobre os lotes individuais, que compõem o loteamento, bem assim, regular as ações entre eles e a utilização dos bens, serviços e equipamentos destinados ao atendimento das necessidades da coletividade organizada. - A convenção, como se vê dos autos, não se limitou a dispor a respeito dos lotes de propriedade exclusiva, mas disciplinou também a utilização das áreas de uso comum, como aquela em que se localiza a portaria e as guaritas para o abrigo do pessoal em serviço, a que serve para a instalação da sede e do almoxarifado, as destinadas aos atracadouros e a garagem para as embarcações etc., como também se refere aos bens e equipamentos, cuja propriedade é atribuída ao condomínio, o que faz concluir tratar-se de condomínio de caráter especial, ao qual o recorrido aderiu, obrigando-se a respeitar os seus termos, na escritura de compra e venda do imóvel. - Vê-se, pois, que o condomínio se formou, tendo existência jurídica, estando sob a regulação da Lei nº. 4.591/64. - A figura do condomínio horizontal especial está prevista no artigo 8º., da Lei nº 4.591/64, devendo ser interpretada em consonância com as necessidades e exigências da vida moderna e do fenômeno jurídico da comunhão da superfície, não sendo razoável encará-la, de forma restritiva, como se os loteamentos, as vilas, ou conjunto de casas, existentes em uma determinada área, não possam se organizar sobre a forma condominial. - A vida de relação, cada dia mais complexa, tem exigido cada vez mais, a união de esforços, preponderando o interesse coletivo sobre o individual, impondo-se a organização de grupos sociais no sentido de dotar os conjuntos de habitação da indispensável infra-estrutura e serviços necessários a uma convivência harmônica, saudável e segura. - É o que se verifica no caso em concreto, onde as partes interessadas dispuseram, livre e conscientemente, sobre a constituição do ente formal, existindo no loteamento áreas de uso comum, benfeitorias de uso comum, inclusive empregados contratados para cuidar da conservação e da vigilância das coisas comuns, o que não foi impugnado pelo recorrido. - Nenhum obstáculo existe, portanto, a impedir ou tornar inviável a constituição do condomínio especial previsto no citado artigo 8º. da lei específica. - Acrescente-se que, existente o condomínio, ainda que atípico, e instituído pela vontade unânime dos proprietários dos lotes individuais, as despesas comuns a todos os comunheiros deve entre eles ser rateadas. - Não se justifica, nem é jurídico, que um dos condôminos, que antes aderiu, venha agora divergir individualmente, para se aproveitar do esforço comum e se beneficiar dos serviços oferecidos e das benfeitorias realizadas, sem participa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condômino se obriga a pagar a sua contribuição na proporção estimada para cada lote de terreno, individualizado, segundo a convenção, não pode pretender reduzi-la a metade pelo simples fato de ter promovido, posteriormente, o remembramento dos dois lotes que possuía em apenas um, mantendo, contudo a mesma área resultante da soma dos que anteriormente adquiriu. - O rateio das despesas realizado proporcionalmente à área de terra possuída por cada condômino não fere os princípios da razoabilidade e da proporcionalidade.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2026-10-26T02:24:44.958Z</dcterms:created>
  <dcterms:modified xsi:type="dcterms:W3CDTF">2026-10-26T02:24:44.958Z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