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IMPOSTO DE RENDA</w:t>
      </w:r>
    </w:p>
    <w:p>
      <w:r>
        <w:rPr>
          <w:i/>
          <w:iCs/>
          <w:color w:val="666666"/>
        </w:rPr>
        <w:t xml:space="preserve">COMPLEMENTAÇÃO DE APOSENTADORIA</w:t>
      </w:r>
    </w:p>
    <w:p/>
    <w:p/>
    <w:p>
      <w:r>
        <w:t xml:space="preserve">VIÚVA COTISTA SEM GERÊNCIA — DEFESA DE SUA MEAÇÃO - QUANDO SE LEGITIMA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 Embargante ora apelada, deveria ter sido intimada da penhora conforme, o disposto no artigo 12, § 2º da Lei de Execução Fiscal e no caso em tela, como tal providência não foi efetuada, a defesa adequada foram os presentes Embargos de Terceiros, já que não pode ingressar com os Embargos a Execução em defesa de sua meação. - A responsabilidade tributária só atinge os bens particulares do sócio-gerente, portanto a meação da viúva a de ser preservada, pois a mesma era cotista da sociedade, sem função de gerência, não podendo seus bens serem penhorados em processo de execução fiscal. - Recaindo a penhora sobre bem imóvel, impõe-se a intimação da meeira, não importando qual o regime de bens, para que a mesma possa embargar a execução em defesa de sua meação, e neste caso não sendo possível a via adequada serão os Embargos de Terceiros. - Procedendo-se a penhora sobre a meação, a intimação do cônjuge se faz necessária sob pena de anulação da execução a partir da penhora, razão pela qual mantém-se a anulação da penhora efetivada na execução fiscal em apenso sobre a meação da embargante. - Pelo exposto, voto no sentido de negar provimento ao recurso, mantendo a sentença de primeiro grau na íntegra. Ac. de 31-08-2004 DJ de (omisso) (Proc. nº 2003.001.28589) Arquivo do EMFOR, TJRJ/N 6686 EMENTÁRIO FORENSE. Abril, 2006. Ano LVIII. Nº 689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responsabilidade tributária só atinge os bens particulares do sócio-gerente, portanto a meação da viúva a de ser preservada, pois a mesma era cotista da sociedade, sem função de gerência, não podendo seus bens serem penhorados em processo de execução fiscal. (Ementa trecho do acórdão)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2026-10-26T04:36:58.511Z</dcterms:created>
  <dcterms:modified xsi:type="dcterms:W3CDTF">2026-10-26T04:36:58.511Z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