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/>
    <w:p>
      <w:r>
        <w:t xml:space="preserve">APROXIMAÇÃO DAS PARTES — DESFAZIMENTO POSTERIOR -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natureza da prestação de serviços é profissional. Mas pelo princípio de que ninguém pode se locupletar com o trabalho alheio, do enriquecimento sem causa comprovada a intermediação, faz jus o intermediário, mesmo que descredenciado pela lei, a remuneração. - ................................................... - Como bem assinalado em doutrina, a comissão ajustada decorre do lucro ou vantagem que o negócio proporcionou. - Ora, provado o quanto basta que as tratativas realizadas pela autora iniciaram-se no prazo da opção, mas tendo o negócio sido concluído diretamente pelo proprietário com o interessado no aporte financeiro conectado pela autora, faz ela jus a comissão ajustada, não podendo a apelante na simples argüição do princípio da "exceptio non adimpleti contractus" opor-se a obrigação ajustada e comprovada. Ac. de 26-10-1999 (Proc. nº 1999.001.07517) Arquivo do EMFOR, TJRJ/N 6712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o esforço da aproximação das partes pelo contratado é devido o preço fixado, mostrando-se indiferente que tenha havido desistência do negócio ou o cliente tenha celebrado com este diretamente.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2026-09-10T23:20:19.911Z</dcterms:created>
  <dcterms:modified xsi:type="dcterms:W3CDTF">2026-09-10T23:20:19.911Z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