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Tribunal: </w:t>
      </w:r>
      <w:r>
        <w:t xml:space="preserve">TRF4</w:t>
      </w:r>
    </w:p>
    <w:p>
      <w:r>
        <w:rPr>
          <w:b/>
          <w:bCs/>
        </w:rPr>
        <w:t xml:space="preserve">Relator: </w:t>
      </w:r>
      <w:r>
        <w:t xml:space="preserve">MARGA INGE BARTH TESSLER</w:t>
      </w:r>
    </w:p>
    <w:p/>
    <w:p>
      <w:r>
        <w:t xml:space="preserve">CAIXA ECONÔMICA FEDERAL —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que não colhe a alegação de ilegitimidade passiva da CEF, que deve ser mantida no pólo passivo da demanda, já que, como entidade operadora do FGTS, detém a posse e o controle das contas vinculadas, competindo-lhe cumprir eventual decisão que determine a imputação do percentual pretendido. - É farta a jurisprudência que se inclina a este entendimento da qual transcrevo, exemplificativamente, a ementa a seguir: "PROCESSO CIVIL. FGTS. CORREÇÃO MONETÁRIA DA CONTA VINCULADA. LITISPENDÊNCIA. LEGITIMIDADE PASSIVA. I - Rejeitada a preliminar de litispendência, já que a ação individual foi ajuizada antes da ação coletiva. II - Consoante entendimento do STJ, a Caixa Econômica Federal é parte legítima para integrar o pólo passivo da ação por ser gestora do FGTS e sucessora do BNH. III - O banco depositário é parte passiva ilegítima, uma vez que só lhe cabe aplicar os indicadores de correção monetária fixados pela CEF. IV - Recurso parcialmente provido" (TRF 4ª Região, AC n. 94.04.40429-2/SC, 2ª Turma, Relatora MARGA INGE BARTH TESSLER, unânime, DJ de 23.11.94, p. 67.823). - Litisconsórcio passivo necessário dos bancos depositários: Os bancos depositários, antes da centralização na CEF, eram tão-somente receptores das quantias destinadas ao fundo. Não detinham a prerrogativa que ora possui a CEF - de operadora do fundo. Ilegitimados, portanto, para a presente ação. Ac. de 03-03-1998 DJ 03-06-1998 Arquivo do EMFOR, TRF/N 1.687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Legitimidade passiva da CEF. A CEF é o órgão gestor do FGTS, sendo, portanto, parte legítima nas ações que buscam as diferenças de atualização dos saldos.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2026-10-26T02:17:42.499Z</dcterms:created>
  <dcterms:modified xsi:type="dcterms:W3CDTF">2026-10-26T02:17:42.499Z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