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Tribunal: </w:t>
      </w:r>
      <w:r>
        <w:t xml:space="preserve">TRF4</w:t>
      </w:r>
    </w:p>
    <w:p>
      <w:r>
        <w:rPr>
          <w:b/>
          <w:bCs/>
        </w:rPr>
        <w:t xml:space="preserve">Relator: </w:t>
      </w:r>
      <w:r>
        <w:t xml:space="preserve">MARGA INGE BARTH TESSLER</w:t>
      </w:r>
    </w:p>
    <w:p/>
    <w:p>
      <w:r>
        <w:t xml:space="preserve">CAIXA ECONÔMICA FEDERAL — SUA LEGITIMIDADE PASSIVA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Tenho que não colhe a alegação de ilegitimidade passiva da CEF, que deve ser mantida no pólo passivo da demanda, já que, como entidade operadora do FGTS, detém a posse e o controle das contas vinculadas, competindo-lhe cumprir eventual decisão que determine a imputação do percentual pretendido. - É farta a jurisprudência que se inclina a este entendimento da qual transcrevo, exemplificativamente, a ementa a seguir: "PROCESSO CIVIL. FGTS. CORREÇÃO MONETÁRIA DA CONTA VINCULADA. LITISPENDÊNCIA. LEGITIMIDADE PASSIVA. I - Rejeitada a preliminar de litispendência, já que a ação individual foi ajuizada antes da ação coletiva. II - Consoante entendimento do STJ, a Caixa Econômica Federal é parte legítima para integrar o pólo passivo da ação por ser gestora do FGTS e sucessora do BNH. III - O banco depositário é parte passiva ilegítima, uma vez que só lhe cabe aplicar os indicadores de correção monetária fixados pela CEF. IV - Recurso parcialmente provido" (TRF 4ª Região, AC n. 94.04.40429-2/SC, 2ª Turma, Relatora MARGA INGE BARTH TESSLER, unânime, DJ de 23.11.94, p. 67.823). - Litisconsórcio passivo necessário dos bancos depositários: Os bancos depositários, antes da centralização na CEF, eram tão-somente receptores das quantias destinadas ao fundo. Não detinham a prerrogativa que ora possui a CEF - de operadora do fundo. Ilegitimados, portanto, para a presente ação. Ac. de 03-03-1998 DJ 03-06-1998 Arquivo do EMFOR, TRF/N 1.687 EMFOR 609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Legitimidade passiva da CEF. A CEF é o órgão gestor do FGTS, sendo, portanto, parte legítima nas ações que buscam as diferenças de atualização dos saldos.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2026-07-28T00:12:08.149Z</dcterms:created>
  <dcterms:modified xsi:type="dcterms:W3CDTF">2026-07-28T00:12:08.149Z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