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24/07/1977</w:t>
      </w:r>
    </w:p>
    <w:p/>
    <w:p>
      <w:r>
        <w:t xml:space="preserve">SE TAL OCORRE POR TER FUNCIONADO AINDA EM OUTRO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exame a ser feito deverá girar em torno da mesma grafia, e, possivelmente, também naquela em que o perito impugnado já se manifestou, na qualidade de assistente-técnico de uma das partes. - Como é óbvio, deverá responder a quesitos cujas respostas são conhecidas, pois, já tem ponto de vista firmado em laudo apresentado, em virtude de indicação da parte contrária (...). - Pouco importa, "data venia", a circunstância de que o exame se fará sobre documento que não a precedentemente periciado (...), ou que o Dr. O. L. tenha sido louvado da Agravada em outro caso (...). - A verdade é que o objeto da perícia grafotécnica, embora não seja exatamente o mesmo, ... dúvida não pode haver que o ilustre perito deverá se pronunciar sobre a grafia da mesma pessoa. - À rigor, o objeto da primeira perícia é o mesmo da segunda. - Até mesmo por uma questão da chamada "deformação profissional" o Dr. O.L. não deverá funcionar como perito do juízo. - Cumpre salientar que o mencionado perito, como é sabido, goza de confiança de inúmeros juízes e advogados e sua honorabilidade, evidentemente, não está em jogo. - Estamos certos que, caso não for provido o presente, o seu laudo será elaborado com absoluta imparcialidade. - Contudo, o agravo, parece-nos, deve ser provido em virtude da sua intervenção anterior como assistente-técnico de uma das partes e ter emitido conceitos que fazem antecipar suas conclusões na perícia a ser realizada. - Face ao exposto e reportando-nos às razões e promoção ..., a Procuradoria da Justiça opina no sentido de ser dado provimento ao recurso. Julgado em 25-07-1977 Arquivo do Ementário Forense, TJ/245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perito se manifestar sobre grafia que já tenha examinado, mesmo que em outro processo.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2026-10-26T03:44:30.582Z</dcterms:created>
  <dcterms:modified xsi:type="dcterms:W3CDTF">2026-10-26T03:44:30.582Z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