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06/06/1977</w:t>
      </w:r>
    </w:p>
    <w:p/>
    <w:p>
      <w:r>
        <w:t xml:space="preserve">IMÓVEL CONSTRUÍDO EM TERRENO DO MARIDO — PROPRIEDADE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imóvel foi adquirido pelo marido antes do casamento e, portanto, lhe pertence, vigente no matrimônio o regime da separação legal. A casa que, depois de realizada a demolição da já existente, foi aí construída após as núpcias, é uma acessão, de modo que, integrando-se no domínio da coisa principal, ao marido igualmente pertence: o acessório segue o principal. - Aliás, não é possível corroborar a tese, realmente prevalecente na jurisprudência dos nossos tribunais, de que haja comunhão dos aquestos no regime de separação legal, visto que a "ratio legis" é evitar a existência de qualquer interesse econômico no casamento em que venha a vigorar tal regime, interesse despertado por bens que o nubente já tenha ou venha posteriormente a ter. Julgado em 07-06-1977 Arquivo do Ementário Forense, TJ/244 N. da R.: A espécie referente a COMUNHÃO DOS AQUESTOS é encontrada no mesmo st. SEPARAÇÃO LEGAL.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construção acessório em relação ao solo, incorpora-se ela à propriedade deste, de tal modo que, demolida a construção existente e, no mesmo terreno construído outro prédio após as núpcias, dá-se uma acessão, integrando-se a benfeitoria na coisa principal, que passa a pertencer igualmente ao marido.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2026-09-10T22:29:52.083Z</dcterms:created>
  <dcterms:modified xsi:type="dcterms:W3CDTF">2026-09-10T22:29:52.083Z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