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09/05/1977</w:t>
      </w:r>
    </w:p>
    <w:p/>
    <w:p>
      <w:r>
        <w:t xml:space="preserve">COMO SE CARACTERIZA A CULPA GRAVE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examina-se, na espécie, a culpa grave do empregador, que caracteriza o ilícito passível de indenização. - E, nos autos, ficou demonstrada à saciedade essa culpa grave. - É que a empregadora obrigava seus empregados a viajarem, durante o serviço, na parte externa da carroceria do veículo... - O fato, além de contrariar as determinações do Código Nacional de Trânsito, como observa a douta sentença apelada, revela total desprezo pelas cautelas normais, o que significa imprudência indesculpável caracterizando a culpa grave, já que ao mais leve descuido ou mesmo em razão de um mal-estar súbito o evento danoso pode surgir, como de fato surgiu na hipótese em exame. - E a culpa grave leva ao dever de indenizar. Julgado em 10-05-1977 Arquivo do Ementário Forense, TA/123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Assume a responsabilidade civil a empregadora que obriga seus empregados a viajarem, durante o serviço, na parte externa da carroceria do veículo, dando causa a acidente gerador da obrigação de indenizar pelo direito comum.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2026-10-26T07:03:50.281Z</dcterms:created>
  <dcterms:modified xsi:type="dcterms:W3CDTF">2026-10-26T07:03:50.281Z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