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09/05/1977</w:t>
      </w:r>
    </w:p>
    <w:p/>
    <w:p>
      <w:r>
        <w:t xml:space="preserve">COMO SE CARACTERIZA A CULPA GRAVE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examina-se, na espécie, a culpa grave do empregador, que caracteriza o ilícito passível de indenização. - E, nos autos, ficou demonstrada à saciedade essa culpa grave. - É que a empregadora obrigava seus empregados a viajarem, durante o serviço, na parte externa da carroceria do veículo... - O fato, além de contrariar as determinações do Código Nacional de Trânsito, como observa a douta sentença apelada, revela total desprezo pelas cautelas normais, o que significa imprudência indesculpável caracterizando a culpa grave, já que ao mais leve descuido ou mesmo em razão de um mal-estar súbito o evento danoso pode surgir, como de fato surgiu na hipótese em exame. - E a culpa grave leva ao dever de indenizar. Julgado em 10-05-1977 Arquivo do Ementário Forense, TA/123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Assume a responsabilidade civil a empregadora que obriga seus empregados a viajarem, durante o serviço, na parte externa da carroceria do veículo, dando causa a acidente gerador da obrigação de indenizar pelo direito comum.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2026-09-10T22:12:14.111Z</dcterms:created>
  <dcterms:modified xsi:type="dcterms:W3CDTF">2026-09-10T22:12:14.111Z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