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INTERMEDIÁRIO DE NEGÓCIO</w:t>
      </w:r>
    </w:p>
    <w:p>
      <w:r>
        <w:rPr>
          <w:i/>
          <w:iCs/>
          <w:color w:val="666666"/>
        </w:rPr>
        <w:t xml:space="preserve">APROXIMAÇÃO DAS PARTES</w:t>
      </w:r>
    </w:p>
    <w:p/>
    <w:p>
      <w:r>
        <w:rPr>
          <w:b/>
          <w:bCs/>
        </w:rPr>
        <w:t xml:space="preserve">Recurso: </w:t>
      </w:r>
      <w:r>
        <w:t xml:space="preserve">Ap .</w:t>
      </w:r>
    </w:p>
    <w:p>
      <w:r>
        <w:rPr>
          <w:b/>
          <w:bCs/>
        </w:rPr>
        <w:t xml:space="preserve">Julgado em: </w:t>
      </w:r>
      <w:r>
        <w:t xml:space="preserve">19/03/1951</w:t>
      </w:r>
    </w:p>
    <w:p/>
    <w:p>
      <w:r>
        <w:t xml:space="preserve">CONCEITUAÇÃO — OBRIGAÇÃO DE MEIO E OBRIGAÇÃO DE RESULTADO - DISTINÇÃO - EFEITOS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No contrato de corretagem a obrigação do dono do negócio de pagar a devida comissão somente se torna exigível depois do mediador haver obtido o resultado prometido, não gerando qualquer direito à sua atividade desde que não foi atingido o fim a que se propôs. Não se tratado de obrigação de meio, mas de obrigação de resultado, enquanto esta não for cumprida, não é adquirido o direito à comissão. Julgado em 20-03-1951 BIBLIOGRAFIA CITADA: "Commentario al Códice di Commercio", Milano, Valardi, vol. I, nº. 166, pág. 358, "Il Codice de Commercio Commentato", de BOLAFFIO, Utet, 1937, vol. II, nº. 175, págs. 78-79; "Trattato di Diritto Commerciale", de VIVANTE, ed. Valardi, 19343, 5ª. ed., Tomo I, nº. 230, pág. 244); "Traité Elementaire de Droit Commerciale", de GEORGES RIPERT, Paris, Ed. &amp; Jurisprudence, 1951, nº. 2.398,.página 918). Diário da Justiça. Novembro, 1951. Pág. 4.001. Ap. ao Nº. 255 Ementário Forense. Dezembro, 1951. Ano III. Nº 37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 instituto jurídico da mediação, que não é especificamente contemplado em nossa legislação, está, todavia, compreendido, na "locatio operis", visto como o corretor não promete a sua atividade para a obtenção eventual de um determinado fim, mas o próprio resultado, ao contrário da "locatio operarum" em que o locador promete a sua atividade com ou sem resultado.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2026-06-17T14:07:49.904Z</dcterms:created>
  <dcterms:modified xsi:type="dcterms:W3CDTF">2026-06-17T14:07:49.904Z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