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Julgado em: </w:t>
      </w:r>
      <w:r>
        <w:t xml:space="preserve">30/11/1951</w:t>
      </w:r>
    </w:p>
    <w:p/>
    <w:p>
      <w:r>
        <w:t xml:space="preserve">INEXISTÊNCIA DOS REQUISITOS DO PRAZO E DA EXCLUSIVIDADE — AÇÃO DE COBRANÇA IMPROCEDENTE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ANGEL OSSORIO, em sua monografia "El Contrato de Opcion" citado em magnífico trabalho de ARLINDO FIGUEIREDO, revela em linguagem clara, quais sejam esses riscos. Diz ele: "El proprietário dá una nota a um corredor diciendole simplesmente: Vea usted si encuentra un comprador para mi finca. Aqui hay un encargo. Cual es Ia material? La finca. Su dueno reparte cien notas iguales a 100 corredores distintos. Además tampouco se compromete a nada porque quando llegue alguno de ellos con propuesta concreta de aquisición del imueble, el proprietário puede contestar: Lo he vendio ya, o, ya no quiero venderlo". - Os mediadores que não queiram se sujeitar a esses percalços, que exijam do cliente uma opção devidamente formalizada e na qual fiquem previstos o prazo e a exclusividade. - VIVANTE ("Instituições", nº. 15) doutrina que "salvas as estipulações em contrário, deve presumir-se que o cliente fica livre de concluir ou não o negócio, mesmo quando o intermediário tenha cumprido fielmente as suas instruções; que o cliente pode dar ao mesmo tempo a outros corretores o mesmo encargo ou pode realizar diretamente o negócio". Julgado em 01-12-1951 Revista dos Tribunais. Maio, 1952. Pág. 203. Vol. 199 EMENTÁRIO FORENSE. Dezembro, 1952. Ano IV. Nº 49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constitui opção, no exato significado do termo, uma carta-autorização para determinado negócio, se dela não constam os requisitos do prazo e da exclusividade. O dono do negócio que dá uma autorização nesses termos conserva a liberdade de efetuá-lo diretamente ou de arrepender-se. Em tal caso, realizado, o negócio diretamente por ele, não faz jus o corretor a qualquer remuneração; embora tenha cumprido fielmente as instruções recebidas.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2026-06-17T14:09:19.681Z</dcterms:created>
  <dcterms:modified xsi:type="dcterms:W3CDTF">2026-06-17T14:09:19.681Z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