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30/11/1951</w:t>
      </w:r>
    </w:p>
    <w:p/>
    <w:p>
      <w:r>
        <w:t xml:space="preserve">INEXISTÊNCIA DOS REQUISITOS DO PRAZO E DA EXCLUSIVIDADE — AÇÃO DE COBRANÇA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ANGEL OSSORIO, em sua monografia "El Contrato de Opcion" citado em magnífico trabalho de ARLINDO FIGUEIREDO, revela em linguagem clara, quais sejam esses riscos. Diz ele: "El proprietário dá una nota a um corredor diciendole simplesmente: Vea usted si encuentra un comprador para mi finca. Aqui hay un encargo. Cual es Ia material? La finca. Su dueno reparte cien notas iguales a 100 corredores distintos. Además tampouco se compromete a nada porque quando llegue alguno de ellos con propuesta concreta de aquisición del imueble, el proprietário puede contestar: Lo he vendio ya, o, ya no quiero venderlo". - Os mediadores que não queiram se sujeitar a esses percalços, que exijam do cliente uma opção devidamente formalizada e na qual fiquem previstos o prazo e a exclusividade. - VIVANTE ("Instituições", nº. 15) doutrina que "salvas as estipulações em contrário, deve presumir-se que o cliente fica livre de concluir ou não o negócio, mesmo quando o intermediário tenha cumprido fielmente as suas instruções; que o cliente pode dar ao mesmo tempo a outros corretores o mesmo encargo ou pode realizar diretamente o negócio". Julgado em 01-12-1951 Revista dos Tribunais. Maio, 1952. Pág. 203. Vol. 199 EMENTÁRIO FORENSE. Dezembro, 1952. Ano IV. Nº 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opção, no exato significado do termo, uma carta-autorização para determinado negócio, se dela não constam os requisitos do prazo e da exclusividade. O dono do negócio que dá uma autorização nesses termos conserva a liberdade de efetuá-lo diretamente ou de arrepender-se. Em tal caso, realizado, o negócio diretamente por ele, não faz jus o corretor a qualquer remuneração; embora tenha cumprido fielmente as instruções recebidas.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2026-09-10T23:13:17.596Z</dcterms:created>
  <dcterms:modified xsi:type="dcterms:W3CDTF">2026-09-10T23:13:17.596Z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