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30/11/1951</w:t>
      </w:r>
    </w:p>
    <w:p/>
    <w:p>
      <w:r>
        <w:t xml:space="preserve">INEXISTÊNCIA DOS REQUISITOS DO PRAZO E DA EXCLUSIVIDADE — AÇÃO DE COBRANÇA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ANGEL OSSORIO, em sua monografia "El Contrato de Opcion" citado em magnífico trabalho de ARLINDO FIGUEIREDO, revela em linguagem clara, quais sejam esses riscos. Diz ele: "El proprietário dá una nota a um corredor diciendole simplesmente: Vea usted si encuentra un comprador para mi finca. Aqui hay un encargo. Cual es Ia material? La finca. Su dueno reparte cien notas iguales a 100 corredores distintos. Además tampouco se compromete a nada porque quando llegue alguno de ellos con propuesta concreta de aquisición del imueble, el proprietário puede contestar: Lo he vendio ya, o, ya no quiero venderlo". - Os mediadores que não queiram se sujeitar a esses percalços, que exijam do cliente uma opção devidamente formalizada e na qual fiquem previstos o prazo e a exclusividade. - VIVANTE ("Instituições", nº. 15) doutrina que "salvas as estipulações em contrário, deve presumir-se que o cliente fica livre de concluir ou não o negócio, mesmo quando o intermediário tenha cumprido fielmente as suas instruções; que o cliente pode dar ao mesmo tempo a outros corretores o mesmo encargo ou pode realizar diretamente o negócio". Julgado em 01-12-1951 Revista dos Tribunais. Maio, 1952. Pág. 203. Vol. 199 EMENTÁRIO FORENSE. Dezembro, 1952. Ano IV. Nº 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opção, no exato significado do termo, uma carta-autorização para determinado negócio, se dela não constam os requisitos do prazo e da exclusividade. O dono do negócio que dá uma autorização nesses termos conserva a liberdade de efetuá-lo diretamente ou de arrepender-se. Em tal caso, realizado, o negócio diretamente por ele, não faz jus o corretor a qualquer remuneração; embora tenha cumprido fielmente as instruções recebidas.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2026-10-26T05:00:40.469Z</dcterms:created>
  <dcterms:modified xsi:type="dcterms:W3CDTF">2026-10-26T05:00:40.469Z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