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13/12/1950</w:t>
      </w:r>
    </w:p>
    <w:p/>
    <w:p>
      <w:r>
        <w:t xml:space="preserve">FIXAÇÃO JUDICIAL DA MESMA — DESNECESSIDADE DE ARBITRAMENTO POR PERITOS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Acordam..., por maioria de votos, rejeitar os embargos, ficando mantido o acórdão embargado pela desnecessidade, na espécie, do arbitramento previsto no artigo 1.218 do Código Civil, pois a porcentagem de 3% fixada no acórdão é a usualmente adotada em casos idênticos. Julgado em 14-12-1950 VENCIDO O DESEMBARGADOR PINTO DO AMARAL Revista dos Tribunais. Abril, 1951. Pág. 724. Vol. 190. Ano 40. Fasc. 611 EMENTÁRIO FORENSE. Agosto, 1951. Ano III. Nº 33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fixar a remuneração devida ao mediador na compra e venda de imóvel, não necessita o Juiz do parecer de peritos, podendo fazê-lo de acordo com a praxe, na base de três por cento.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2026-06-17T15:22:46.953Z</dcterms:created>
  <dcterms:modified xsi:type="dcterms:W3CDTF">2026-06-17T15:22:46.953Z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