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APROXIMAÇÃO DAS PARTES</w:t>
      </w:r>
    </w:p>
    <w:p/>
    <w:p>
      <w:r>
        <w:rPr>
          <w:b/>
          <w:bCs/>
        </w:rPr>
        <w:t xml:space="preserve">Julgado em: </w:t>
      </w:r>
      <w:r>
        <w:t xml:space="preserve">13/12/1950</w:t>
      </w:r>
    </w:p>
    <w:p/>
    <w:p>
      <w:r>
        <w:t xml:space="preserve">FIXAÇÃO JUDICIAL DA MESMA — DESNECESSIDADE DE ARBITRAMENTO POR PERITOS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Acordam..., por maioria de votos, rejeitar os embargos, ficando mantido o acórdão embargado pela desnecessidade, na espécie, do arbitramento previsto no artigo 1.218 do Código Civil, pois a porcentagem de 3% fixada no acórdão é a usualmente adotada em casos idênticos. Julgado em 14-12-1950 VENCIDO O DESEMBARGADOR PINTO DO AMARAL Revista dos Tribunais. Abril, 1951. Pág. 724. Vol. 190. Ano 40. Fasc. 611 EMENTÁRIO FORENSE. Agosto, 1951. Ano III. Nº 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fixar a remuneração devida ao mediador na compra e venda de imóvel, não necessita o Juiz do parecer de peritos, podendo fazê-lo de acordo com a praxe, na base de três por cento.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2026-10-26T04:59:15.598Z</dcterms:created>
  <dcterms:modified xsi:type="dcterms:W3CDTF">2026-10-26T04:59:15.598Z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