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Julgado em: </w:t>
      </w:r>
      <w:r>
        <w:t xml:space="preserve">13/12/1950</w:t>
      </w:r>
    </w:p>
    <w:p/>
    <w:p>
      <w:r>
        <w:t xml:space="preserve">FIXAÇÃO JUDICIAL DA MESMA — DESNECESSIDADE DE ARBITRAMENTO POR PERITOS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Acordam..., por maioria de votos, rejeitar os embargos, ficando mantido o acórdão embargado pela desnecessidade, na espécie, do arbitramento previsto no artigo 1.218 do Código Civil, pois a porcentagem de 3% fixada no acórdão é a usualmente adotada em casos idênticos. Julgado em 14-12-1950 VENCIDO O DESEMBARGADOR PINTO DO AMARAL Revista dos Tribunais. Abril, 1951. Pág. 724. Vol. 190. Ano 40. Fasc. 611 EMENTÁRIO FORENSE. Agosto, 1951. Ano III. Nº 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fixar a remuneração devida ao mediador na compra e venda de imóvel, não necessita o Juiz do parecer de peritos, podendo fazê-lo de acordo com a praxe, na base de três por cento.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2026-09-10T22:11:35.579Z</dcterms:created>
  <dcterms:modified xsi:type="dcterms:W3CDTF">2026-09-10T22:11:35.579Z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