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29/05/1950</w:t>
      </w:r>
    </w:p>
    <w:p/>
    <w:p>
      <w:r>
        <w:t xml:space="preserve">COMPRA E VENDA LEVADA A EFEITO POSTERIORMENTE — COMISSÃO NÃO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Inúmeros arestos dos nossos Tribunais dão notícia de casos e soluções semelhantes, ficando então assentado, que, "se o negócio se realizou diretamente, após a terminação da incumbência escrita e em condições diferentes, não é devida a porcentagem prometida, nem tampouco a indenização das despesas feitas na aproximação das partes contratantes" ("Revista dos Tribunais", 63-606; 71-263, 86-362; 87-101; 98-190; 146-765; etc) (Trecho da sentença confirmada). Julgado em 30-05-1950 Revista dos Tribunais. Outubro, 1950. Pág. 683. Vol. 187. Ano 39. Fasc. 605 EMENTÁRIO FORENSE. Janeiro, 1951. Ano III. Nº 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tendo o intermediário conseguido acertar a vontade do comprador à do vendedor, não conseguindo levar a bom termo a sua mediação e realizando-se depois a venda sem a sua interferência, é indubitável que não lhe assiste razão alguma para reclamar qualquer remuneração.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2026-06-17T14:19:48.670Z</dcterms:created>
  <dcterms:modified xsi:type="dcterms:W3CDTF">2026-06-17T14:19:48.670Z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