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29/05/1950</w:t>
      </w:r>
    </w:p>
    <w:p/>
    <w:p>
      <w:r>
        <w:t xml:space="preserve">COMPRA E VENDA LEVADA A EFEITO POSTERIORMENTE — COMISSÃO NÃO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Inúmeros arestos dos nossos Tribunais dão notícia de casos e soluções semelhantes, ficando então assentado, que, "se o negócio se realizou diretamente, após a terminação da incumbência escrita e em condições diferentes, não é devida a porcentagem prometida, nem tampouco a indenização das despesas feitas na aproximação das partes contratantes" ("Revista dos Tribunais", 63-606; 71-263, 86-362; 87-101; 98-190; 146-765; etc) (Trecho da sentença confirmada). Julgado em 30-05-1950 Revista dos Tribunais. Outubro, 1950. Pág. 683. Vol. 187. Ano 39. Fasc. 605 EMENTÁRIO FORENSE. Janeiro, 1951. Ano III. Nº 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intermediário conseguido acertar a vontade do comprador à do vendedor, não conseguindo levar a bom termo a sua mediação e realizando-se depois a venda sem a sua interferência, é indubitável que não lhe assiste razão alguma para reclamar qualquer remuneração.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2026-10-26T02:46:54.526Z</dcterms:created>
  <dcterms:modified xsi:type="dcterms:W3CDTF">2026-10-26T02:46:54.526Z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