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CORRETOR DE IMÓVEIS</w:t>
      </w:r>
    </w:p>
    <w:p>
      <w:r>
        <w:rPr>
          <w:i/>
          <w:iCs/>
          <w:color w:val="666666"/>
        </w:rPr>
        <w:t xml:space="preserve">INSCRIÇÃO NO CONSELHO REGIONAL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22/03/1977</w:t>
      </w:r>
    </w:p>
    <w:p/>
    <w:p>
      <w:r>
        <w:t xml:space="preserve">QUANDO NÃO PODE SER EXECUTIVAMENTE COBRADO O SALDO DEVEDOR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verdade que o artigo 66 da Lei nº. 4.728, de 1965 (com a redação dada pelo Decreto-Lei nº. 911, de 1969), dispõe que "se o preço da venda da coisa não basta para pagar o crédito do proprietário fiduciário e despesas, o devedor continuará pessoalmente obrigado a pagar o saldo devedor apurado..." - ORLANDO GOMES admite a ação executiva para cobrança da diferença, embora reconheça que a lei não a concede especificamente ("Alienação Fiduciária em Garantia", 2ª. ed., págs. 116 e 125). - Mas, escolhida a via da busca e apreensão e venda extrajudicial, máxime vindo o pedido desacompanhado dos títulos de crédito que deveriam ter sido emitidos em reforço ao contrato, a situação se apresenta diferente, principalmente com o novo Código de Processo, cujo artigo 585 não encarta a possibilidade específica da execução. - A questão foi bem apreciada por PAULO RESTIFFE NETO ("Garantia Fiduciária", 2ª. ed., pág. 193). "Não se tratando de venda judicial, deve o credor tornar líquido o seu alegado crédito propondo ação de prestação de contas, onde a parte apontada na sentença como credora poderá executar a outra, nos próprios autos (artigo 310 do CPC). Ou, então, deverá ajuizar a parte que se julgar credora da outra, pelo saldo, ação ordinária, sujeitando-se à reconvenção eventual, onde o título executório será a sentença condenatória liquidada. A via inviável no caso dos autos é a ação executiva para cobrança do saldo apurado particularmente peio credor, em que junta recibo seu, vale dizer, documento unilateral, com inclusão de despesas não comprovadas e em que mesmo o valor alcançado na venda pode ser discutido se eventualmente for considerado vil ou ruinoso para o fiduciante." - Não se discute o direito do credor a vender informalmente o veículo dado em garantia. Ma s nem por isso o devedor deixa de ter direitos, em contrapartida, tornando por isso incerto e ilíquido o saldo e sem eficácia executiva. - Nesse sentido é a jurisprudência deste Tribunal, como se vê nos "Julgados do TACivSP", ed. interna, 49/84 e segs. - O acórdão da RTJ 72/306, do STF, citado pelo apelante não serve de parâmetro porque que a cobrança do saldo baseava-se em nota promissória. - Daí por que se nega provimento ao apelo. Julgado em 23-03-1977 VENCIDO O JUIZ RODRIGUES PORTO Revista dos Tribunais. Outubro, 1977. Vol. 504. Pág. 155.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credor que faz venda extrajudicial da coisa objeto da alienação fiduciária não pode cobrar executivamente o saldo credor.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2026-09-10T22:42:23.979Z</dcterms:created>
  <dcterms:modified xsi:type="dcterms:W3CDTF">2026-09-10T22:42:23.979Z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