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CORRETOR DE IMÓVEIS</w:t>
      </w:r>
    </w:p>
    <w:p>
      <w:r>
        <w:rPr>
          <w:i/>
          <w:iCs/>
          <w:color w:val="666666"/>
        </w:rPr>
        <w:t xml:space="preserve">INSCRIÇÃO NO CONSELHO REGIONAL</w:t>
      </w:r>
    </w:p>
    <w:p/>
    <w:p>
      <w:r>
        <w:rPr>
          <w:b/>
          <w:bCs/>
        </w:rPr>
        <w:t xml:space="preserve">Recurso: </w:t>
      </w:r>
      <w:r>
        <w:t xml:space="preserve">RE 79.953</w:t>
      </w:r>
    </w:p>
    <w:p>
      <w:r>
        <w:rPr>
          <w:b/>
          <w:bCs/>
        </w:rPr>
        <w:t xml:space="preserve">Julgado em: </w:t>
      </w:r>
      <w:r>
        <w:t xml:space="preserve">03/06/1976</w:t>
      </w:r>
    </w:p>
    <w:p/>
    <w:p>
      <w:r>
        <w:t xml:space="preserve">DIREITO ADQUIRIDO À NÃO INCIDÊNCIA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à recorrente direito adquirido à não incidência do ICM. A guia de importação é de 17-11-1972, anterior, portanto, à lei estadual nº. 91, de 27-12-1972, com efeitos a partir de 01-01-1973. Contudo, o fato gerador do imposto ocorreu em 1973, quando deu entrada no estabelecimento a mercadoria importada do exterior pelo titular do estabelecimento. - No RE 79.953, de 05-12-1974 (R.T.J. 72/619-622 -, decidiu o Supremo Tribunal Federal, em reunião plenária, segundo a ementa do acórdão: "ICM na importação de mercadorias estrangeiras. Sendo fato gerador a entrada da mercadoria no estabelecimento importador, e ocorrendo este na vigência da lei instituidora do tributo, pouco importa a circunstância de a importação haver sido autorizada anteriormente à edição da mesma lei. Inexistência de direito adquirido. Recurso extraordinário conhecido e provido, com a cassação da segurança". No mesmo sentido, 79.552, de 18-03-1975, RE 79.626, de 03-06-1975, ambos da Segunda Turma, e RE 81.123, de 23-05-1975, desta Turma. - Não conheço. Julgado em 04-06-1976 Revista Trimestral de Jurisprudência. Junho, 1977. Vol. 80. Pág. 914.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direito adquirido à não incidência do tributo, cujo fato gerador ocorreu no momento da entrada, no estabelecimento, da mercadoria importada do exterior.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2026-10-26T02:45:00.322Z</dcterms:created>
  <dcterms:modified xsi:type="dcterms:W3CDTF">2026-10-26T02:45:00.322Z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