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SOBRE TRANSAÇÕES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Julgado em: </w:t>
      </w:r>
      <w:r>
        <w:t xml:space="preserve">30/05/1977</w:t>
      </w:r>
    </w:p>
    <w:p/>
    <w:p>
      <w:r>
        <w:t xml:space="preserve">QUANDO A SUA REPARAÇÃO ESTÁ INCLUÍDA NA DO DANO MATERIAL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em nosso direito, a indenização do dano morfológico está prevista no parágrafo 1º. do artigo 1.538 do Código Civil e o seu "quantum" deverá corresponder ao dobro das despesas mencionadas no aludido artigo, isto é, despesas de tratamento e lucros cessantes até o fim da convalescença. - Mas o ressarcimento por essa forma só tem lugar se a lesão ou defeito não impossibilitar o ofendido de exercer o seu ofício ou profissão, porque, se ocorrer essa impossibilidade, a indenização será a do artigo 1.539, ou seja, além das despesas de tratamento e lucros cessantes até o fim da convalescença, o responsável pagará uma pensão correspondente à importância do trabalho para que se inabilitou a vítima. - Como resulta claro do cotejo desses dois dispositivos, não há possibilidade de acumulação da indenização do artigo 1.539 com a do dano estético, regulada no parágrafo 1º. do artigo 1.538. - "In casu", a lesão causada ao segundo embargante implicou em redução da capacidade laborativa, redução essa que será ressarcida mediante indenização específica, como dispôs o julgado recorrido. - A reparação a ser feita, compreenderá e absorverá a do dano morfológico, não havendo lugar para indenização destacada a esse título. Julgado em 31-05-1977 Arquivo do Ementário Forense, TA/115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Constituindo a deformidade causa de incapacidade para o trabalho, a reparação do dano material compreende e absorve a do dano morfológico.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2026-06-17T16:34:42.026Z</dcterms:created>
  <dcterms:modified xsi:type="dcterms:W3CDTF">2026-06-17T16:34:42.026Z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