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IMPOSTO SOBRE TRANSAÇÕES</w:t>
      </w:r>
    </w:p>
    <w:p>
      <w:r>
        <w:rPr>
          <w:i/>
          <w:iCs/>
          <w:color w:val="666666"/>
        </w:rPr>
        <w:t xml:space="preserve">PROMESSA DE COMPRA E VENDA</w:t>
      </w:r>
    </w:p>
    <w:p/>
    <w:p>
      <w:r>
        <w:rPr>
          <w:b/>
          <w:bCs/>
        </w:rPr>
        <w:t xml:space="preserve">Julgado em: </w:t>
      </w:r>
      <w:r>
        <w:t xml:space="preserve">11/07/1977</w:t>
      </w:r>
    </w:p>
    <w:p/>
    <w:p>
      <w:r>
        <w:t xml:space="preserve">RECEBIMENTO DE VEÍCULO PARA CONSERTO — SUA RETIRADA POR PREPOSTO QUE O DANIFICA - EFEITOS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É evidente a sem razão do chamamento à lide, através da denunciação, da empresa contratada para a vigilância do estabelecimento da ré, eis que terceiros nada têm a ver com a relação entre eles estabelecida, e nem a hipótese é de exercício de direito regressivo. - Bem andou o Dr. Juiz "a quo" em excluir do processo a denunciada... - A ré, recebendo o veículo para conserto assumiu a obrigação de guarda, que descumpriu, permitindo que terceiro o retirasse de sua oficina e viesse a danificá-lo. Pouco importa que esse terceiro fosse a ela ligado por laços de preposição, por relação trabalhista, ou que com ela nenhuma relação tivesse. Sua obrigação, que diz com a incolumidade da coisa entregue para conserto e, conseqüentemente também para guardar durante o conserto, se faz efetiva seja quem for que venha a danificar a coisa. Somente o caso fortuito ou a força maior seriam exoneradores de sua responsabilidade... Julgado em 12-07-1977 Arquivo do Ementário Forense, TA/118. EMENTÁRIO FORENSE. Maio, 1978. Ano XXX. Nº 354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Quem recebe veículo de terceiro para conserto, assume a responsabilidade pela guarda dele. Se preposto seu ou pessoa a ele ligada, retira o veículo da oficina e o danifica, responde o consertador pelos prejuízos conseqüentes.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2026-09-11T00:15:15.085Z</dcterms:created>
  <dcterms:modified xsi:type="dcterms:W3CDTF">2026-09-11T00:15:15.085Z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