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INFRAÇÃO — LAVRATURA DE AUTO</w:t>
      </w:r>
    </w:p>
    <w:p/>
    <w:p>
      <w:pPr>
        <w:pStyle w:val="Heading2"/>
      </w:pPr>
      <w:r>
        <w:rPr>
          <w:b/>
          <w:bCs/>
        </w:rPr>
        <w:t xml:space="preserve">Ementa</w:t>
      </w:r>
    </w:p>
    <w:p>
      <w:r>
        <w:t xml:space="preserve">ILUSTRÍSSIMO SENHOR DIRETOR DO DIRETRAN DA URBS. Auto de Infração n. º ... Veículo:...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Senhoria apresentar DEFESA PRÉVIA aos termos do Auto de Infração em epígrafe, órgão atuador n.º ... Auto de infração n.º ..., pelos motivos de fato e de direito a seguir aduzidos. DOS FATOS O Autuado é proprietário do veículo marca ..., modelo..., placa ..., e, conforme acima exposto, recebeu pelo correio o auto de infração ... (cópia anexa), dando conta que teria o mesmo dirigido o veículo utilizando-se de telefone celular, na Rua ... com ..., às ... horas do dia ... Sendo enquadrado no artigo 252, inciso VI, do CNT. O auto de infração, entretanto é insubsistente e deve ser julgado inconsistente e irregular por Vossa Senhoria, tendo em vista o seguinte: Segundo parecer do DENATRAN, existe a necessidade da abordagem do condutor para se lavrar o auto de infração - a fim de se comprovar realmente se o "infrator" encontrava-se dirigindo utilizando-se de telefone celular, pois o simples fato de se pegar o telefone celular não configura a infração tipificada pelo art. 252, VI - ademais se não há abordagem do infrator - não há como a autoridade verificar se o "infrator" estava ou não falando ao telefone celular, pois esta é, a finalidade do telefone. Insurge-se um pseudo-sistema baseado em ficção fática - não devendo tal presunção prosperar. Para que fosse válido esse auto de infração, ele deveria ter sido autuado em flagrante, sob pena de ofensa aos Princípios do Devido Process o Legal e da Ampla Defesa. A autuação em flagrante faz-se imprescindível, pois trata-se de infração de difícil constatação, cuja verificação à desistência pela autoridade de trânsito claramente poderá dar margem a inúmeros equívocos e injustiças. Isto porque quaisquer elementos que possam ter levado a autoridade de trânsito a entender infringido o artigo 252, VI seriam vestígios como o fato do condutor estar aparentemente falando sozinho no carro ou encontrar-se com a mão próxima ao ouvido, fatos insuficientes para formarem uma convicção. Ora, é vedado à Administração Pública lavrar auto de infração ou cominar penas e multas com base em meras suposições ou "desconfianças", circunstância agravada ainda pelo fato de ser de extrema dificuldade ou até impossível, a produção de prova em contrário pelo condutor. Devido a tal dificuldade o ônus da prova é invertido, como determina a lei processual pátria, cabendo à autoridade autuadora a obrigação de provar o cometimento indubitável da infração antes de cominar a pena. DO DIREITO O Código Nacional de Trânsito em seu artigo 280, § 2º preceitua: Art. 280. Ocorrendo infração prevista na legislação de trânsito, lavrar-se-á auto de infração, do qual constará: ... § 2º. A infração deverá ser comprovada por declaração da autoridade ou do agente da autoridade de trânsito, por aparelho eletrônico ou por equipamento audiovisual, reações químicas ou qualquer outro meio tecnologicamente disponível, previamente regulamentado pelo CONTRAN. (grifo nosso) A interpretação do artigo 280 é clara, a prova da infração de trânsito é a declaração do agente público, que deve estar presente nos autos, esta comprova que o fato ocorreu da forma descrita na conduta típica. Ocorre que, para que uma declaração seja aceita como prova, ainda que o agente público goze de presunção de veracidade, é necessária a identificação do agente que procedeu a autuação. O agente deve ser individualizado, de forma inequívoca, seja po r sua matrícula como servidor público ou número do distintivo (em caso de agente policial), ou ainda número de sua identidade e nome completo. No corpo do auto de infração a única informação que consta é; "Agente Municipal". No caso em tela fundamental se faz individualizar o agente para que se possa averiguar o erro material. O auto de infração esta cercada pela dúvida e também por vícios, fato que o torna absolutamente nulo, por conseguinte impossível de aceitá-lo na forma proposta. DOS PEDIDOS Diante do exposto, e considerando que a Requerente não cometeu a mencionada infraç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2026-10-26T02:46:07.768Z</dcterms:created>
  <dcterms:modified xsi:type="dcterms:W3CDTF">2026-10-26T02:46:07.768Z</dcterms:modified>
</cp:coreProperties>
</file>

<file path=docProps/custom.xml><?xml version="1.0" encoding="utf-8"?>
<Properties xmlns="http://schemas.openxmlformats.org/officeDocument/2006/custom-properties" xmlns:vt="http://schemas.openxmlformats.org/officeDocument/2006/docPropsVTypes"/>
</file>