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r>
        <w:rPr>
          <w:b/>
          <w:bCs/>
        </w:rPr>
        <w:t xml:space="preserve">Tribunal: </w:t>
      </w:r>
      <w:r>
        <w:t xml:space="preserve">TJDF</w:t>
      </w:r>
    </w:p>
    <w:p/>
    <w:p>
      <w:r>
        <w:t xml:space="preserve">DEFESA — EXCESSO DE VELOCIDADE</w:t>
      </w:r>
    </w:p>
    <w:p/>
    <w:p>
      <w:pPr>
        <w:pStyle w:val="Heading2"/>
      </w:pPr>
      <w:r>
        <w:rPr>
          <w:b/>
          <w:bCs/>
        </w:rPr>
        <w:t xml:space="preserve">Ementa</w:t>
      </w:r>
    </w:p>
    <w:p>
      <w:r>
        <w:t xml:space="preserve">ILMO. SENHOR DIRETOR DA DIRETRAN DA ... Auto de Infração n.º...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DEFESA aos termos do Auto de Infração em epígrafe, lavrado pelo DIRETRAN, pelos motivos de fato e de direito a seguir aduzidos. DOS FATOS Foi lavrada autuação de infração, supostamente cometida pela autora, em linhas gerais por transitar em velocidade superior a máxima permitida para via coletora e local, o veículo..., placa..., de sua propriedade, conduzido pelo Sr..., conforme apresentação do condutor já protocolada junto a este departamento. A autuação tem como fundamento o art. 218, II, a, CTB. DO DIREITO 1.SINALIZAÇÃO OCULTA Conforme constante da Notificação apresentada a esta empresa, proprietária do veículo, o fato teria ocorrido em data de ..., às ... horas, à Rua ..., nº ..., Sent... A resolução nº 8 de 23/01/1998 do CONTRAN, em seu artigo 1º e 2º, preceitua: "Art. 1º - Toda fiscalização de trânsito por meio mecânico, elétrico, eletrônico ou fotográfico, deverá ser indicada, pelo menos, por sinalização vertical conforme modelo constante no anexo I da presente Resolução". "Art. 2º - A sinalização devera ser colocada ao longo da via fiscalizada, observada a engenharia de tráfego, respeitando espaçamentos mínimos que mantenham o usuário permanentemente informado". A legislação é clara, o uso de aparelhos eletrônicos de controle de velocidade é perfeitamente regular desde que, devidamente sinalizados na via. No local onde ocorreu a autuação guerreada, não existe sinalização visível, indicando a existência de controle eletrônico de velocidade. O Código Brasileiro de Trânsito esclarece que, não serão aplicadas as sanções previstas no código, quando a sinalização for insuficiente, esta é a inteligência do artigo 90: "Art. 90. Não serão aplicadas as sanções previstas neste Código por inobservância à sinalização quando esta for insuficiente ou incorreta. § 1º. O órgão ou entidade de trânsito com circunscrição sobre a via é responsável pela implantação da sinalização, respondendo pela sua falta, insuficiência ou incorreta colocação. § 2º. O CONTRAN editará normas complementares no que se refere à interpretação, colocação e uso da sinalização." Os Tribunais aplicando a norma ao caso concreto também já se manifestaram: 32085293 - ADMINISTRATIVO - MULTA DE TRÂNSITO - ESTACIONAMENTO EM LOCAL PROIBIDO - INSUFICIÊNCIA DA SINALIZAÇÃO - A insuficiência da sinalização, colocada só de um lado de via que se destina apenas a acesso ao interior de conjunto residencial, impossibilitando saber se a proibição de estacionar ao longo do meio-fio era dos dois lados da via, afasta a aplicação de multa por estacionamento proibido (ctb, art. 90). Apelação e remessa ex-offício não providas. (TJDF - APC (grifo nosso) Pelas razões acima, requer seja recebida a presente defesa e por conseqüência seja cancelada a autuação lavrada em face da ora Autuada, por ser totalmente improcedente. 2. VELOCIDADE COMPATÍVEL Entretanto, se porventura não for acolhida as argumentações acima, deve-se levar em conta ainda a velocidade desenvolvida pelo condutor do veículo apontado na Autuação, que era compatível com o local, senão vejamos. O auto de infração é insubsistente e deve ser anulado por Vossa Senhoria, visto o requerente não ter infringido a norma constante no artigo 218, II, A, do Código de Trânsito. Com efeito, o velocímetro do veículo do requerente, no momento da foto, marcava 60 Km/hora, aparelho este que é analógico e escalonado em 5 Km/hora, enquanto que o "radar" é um equipamento de alta precisão, com aferição escalonada em 1 Km/hora. Existe pela legislação uma tolerância na aferição de cada equipamento, sendo que uma marcação a menor no velocímetro e uma aferição a maior no "radar" justificaria os 18 Km/hora excedentes na ocasião da autuação (a velocidade auferida foi de 78 Km/hora). Saliente-se que os equipamentos de "radar" instalados ainda não foram homologados pelo INMETRO, ou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2026-10-26T02:45:13.571Z</dcterms:created>
  <dcterms:modified xsi:type="dcterms:W3CDTF">2026-10-26T02:45:13.571Z</dcterms:modified>
</cp:coreProperties>
</file>

<file path=docProps/custom.xml><?xml version="1.0" encoding="utf-8"?>
<Properties xmlns="http://schemas.openxmlformats.org/officeDocument/2006/custom-properties" xmlns:vt="http://schemas.openxmlformats.org/officeDocument/2006/docPropsVTypes"/>
</file>