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r>
        <w:rPr>
          <w:b/>
          <w:bCs/>
        </w:rPr>
        <w:t xml:space="preserve">Recurso: </w:t>
      </w:r>
      <w:r>
        <w:t xml:space="preserve">ap. ..</w:t>
      </w:r>
    </w:p>
    <w:p/>
    <w:p>
      <w:r>
        <w:t xml:space="preserve">ERRO QUANTO AO VEÍCULO — OMISSÃO DA AUTORIDADE</w:t>
      </w:r>
    </w:p>
    <w:p/>
    <w:p>
      <w:pPr>
        <w:pStyle w:val="Heading2"/>
      </w:pPr>
      <w:r>
        <w:rPr>
          <w:b/>
          <w:bCs/>
        </w:rPr>
        <w:t xml:space="preserve">Ementa</w:t>
      </w:r>
    </w:p>
    <w:p>
      <w:r>
        <w:t xml:space="preserve">ILMO. SENHOR DIRETOR MUNICIPAL DE TRÂNSITO E URBANIZAÇÃO. - ... Auto de Infração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DEFESA em face de autos de infração em epígrafe, lavrados pela CMTU-CIA. MUN. DE TRÂNSITO E URBANIZAÇÃO, pelos motivos de fato e de direito a seguir aduzidos. PRELIMINARMENTE Conforme se observa, não houve apresentação de condutor, porque o veículo, no momento da lavraturas das infrações, estava recolhido nas dependências da empresa, impossibilitando por isto qualquer apontamento de condutor. Ocorre que o veículo de propriedade da empresa, na hora e data mencionadas nos autos de infração, encontrava-se trancado no pátio da empresa proprietária, localizado em ... Tal fato pode ser facilmente comprovado por funcionários desta empresa e por testemunhas, cujo rol será apontado ao final desta peça. Portanto, impossível o cometimento das infrações em questão, visto que, conforme exposto o mencionado veículo encontrava-se no pátio da empresa em ..., podendo-se deduzir desde logo que houve um erro por parte do agente municipal, no momento de identificar o veículo e a placa do verdadeiro infrator. Cabe salientar que, o veículo em questão fica a disposição dos membros da diretoria da empresa em tempo integral, com autorização para rodar em ..., região metropolitana e viagem somente a trabalho. O veículo, desde sua aquisição jamais deixou o Munic ípio sede da empresa autuada. Seguindo os fatos narrados acima, não há condições materiais de se imputar qualquer fato ilícito na condução do veículo em questão, sendo que o mesmo encontrava-se - local e data - em Município distinto e longínquo (mais de 400 km). Sendo assim, requer-se sejam desconstituídos aos autos de infração acima indicados, por absoluta falta de consistência, conforme artigo 281, I do CTB. DO MÉRITO DOS FATOS Foram lavrados três autos de infração, supostamente cometida pela Autuada, em linhas gerais, por executar operação de conversão à direita ou à esquerda em local proibido ou de parada; deixar de indicar mediante gesto realização de manobra e também avançar sinal vermelho do semáforo, todos com o veículo ..., placa..., de sua propriedade, não havendo apresentação de condutor. As autuações têm como fundamento os artigos. 207, 196 e 208, do Código de Trânsito Brasileiro - CTB, respectivamente. Conforme consta das notificações apresentadas a esta empresa, proprietária do veículo, os fatos teriam ocorrido em data de ..., às..., ... e ... horas, respectivamente, sendo o primeiro na AV. ..., o segundo, AV. ..., ... e o último na AV. ... DO DIREITO O Código Nacional de Trânsito em seu artigo 280, § 2º preceitua: "Art. 280. Ocorrendo infração prevista na legislação de trânsito, lavrar-se-á auto de infração, do qual constará: ... § 2º. A infração deverá ser comprovada por declaração da autoridade ou do agente da autoridade de trânsito, por aparelho eletrônico ou por equipamento audiovisual, reações químicas ou qualquer outro meio tecnologicamente disponível, previamente regulamentado pelo CONTRAN. (grifo nosso) A interpretação do artigo 280 é clara, a prova da infração de trânsito é a declaração do agente público, que deve estar presente nos autos, esta comprova que o fato ocorreu da forma descrita na conduta típica. Ocorre que, para que uma declaração seja aceita como prova, ainda que o agente público go ze de presunção de veracidade, é necessária a identificação do agente que procedeu a autuação. O agente deve ser individualizado, de forma inequívoca, seja por sua matrícula como servidor público ou número do distintivo (em caso de agente policial), ou ainda número de sua identidade e nome completo. No corpo dos três autos de infração a única informação que consta é; "Agente Municipal". No caso em tela fundamental se faz individualizar o agente para que se possa averiguar o erro material. Deve-se ressaltar que, o momento das infrações se deu tarde da noite, por volta de 21:59 h, o que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2026-07-28T00:03:58.352Z</dcterms:created>
  <dcterms:modified xsi:type="dcterms:W3CDTF">2026-07-28T00:03:58.352Z</dcterms:modified>
</cp:coreProperties>
</file>

<file path=docProps/custom.xml><?xml version="1.0" encoding="utf-8"?>
<Properties xmlns="http://schemas.openxmlformats.org/officeDocument/2006/custom-properties" xmlns:vt="http://schemas.openxmlformats.org/officeDocument/2006/docPropsVTypes"/>
</file>