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CÓDIGO DE TRÂNSITO BRASILEIRO</w:t>
      </w:r>
    </w:p>
    <w:p/>
    <w:p>
      <w:r>
        <w:rPr>
          <w:b/>
          <w:bCs/>
        </w:rPr>
        <w:t xml:space="preserve">Recurso: </w:t>
      </w:r>
      <w:r>
        <w:t xml:space="preserve">Resp .</w:t>
      </w:r>
    </w:p>
    <w:p>
      <w:r>
        <w:rPr>
          <w:b/>
          <w:bCs/>
        </w:rPr>
        <w:t xml:space="preserve">Tribunal: </w:t>
      </w:r>
      <w:r>
        <w:t xml:space="preserve">TRF4</w:t>
      </w:r>
    </w:p>
    <w:p/>
    <w:p>
      <w:r>
        <w:t xml:space="preserve">REFIS — PEDIDO DE REINCLUSÃO - DESPACHO DENEGATIVO</w:t>
      </w:r>
    </w:p>
    <w:p/>
    <w:p>
      <w:pPr>
        <w:pStyle w:val="Heading2"/>
      </w:pPr>
      <w:r>
        <w:rPr>
          <w:b/>
          <w:bCs/>
        </w:rPr>
        <w:t xml:space="preserve">Ementa</w:t>
      </w:r>
    </w:p>
    <w:p>
      <w:r>
        <w:t xml:space="preserve">EXCELENTÍSSIMO SENHOR DOUTOR JUIZ DA ... VARA FEDERAL DA SEÇÃO JUDICIÁRIA DO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impetrar MANDADO DE SEGURANÇA COM PEDIDO DE LIMINAR em face de Ilustríssimo Sr. Delegado da Receita Federal em ..., pelos motivos de fato e de direito a seguir aduzidos. PRELIMINARMENTE Trata-se de Mandado de Segurança impetrado em face de despacho de denegativo de pedido de reinclusão da impetrante no PROGRAMA DE RECUPERAÇÃO FISCAL - REFIS. O art. 109, inciso VIII da Constituição Federal prevê: "Aos Juizes Federais compete processar e julgar: VIII - Os mandados de segurança e os habeas corpus contra ato de autoridade federal, excetuados os casos de competência dos Tribunais Federais." Destarte a competência para julgamento do presente writ é do Resp. Juízo da Justiça Federal. DOS FATOS Em data de ... de ... de ..., a impetrante requereu o seu ingresso no PROGRAMA DE RECUPERAÇÃO FISCAL - REFIS , consoante prova com o recibo de entrega da declaração de recuperação fiscal, tendo sido confirmado o seu ingresso, conforme se desume pelo Termo de Opção emitido pela Secretaria da Receita Federal. Por ocasião da formalização de ingresso no REFIS, a impetrante atendeu a todas às normas estabelecidas na Lei nº 9.964/2000, que instituiu o referido programa. Prestou todas as informações pertinentes sobre créditos a compensar, requereu a desistência nos proc essos administrativos e judiciais, indicou bens do seu ativo imobilizados, na forma do art. 14, do Decreto 3.431, de 24 de abril de 2000 e art. 2º da Resolução CG/REFIS nº 9, de 12 de janeiro de 20001, arrolou todos os seus bens, forma da legislação em comento. A impetrante vem honrando com os pagamentos, rigorosamente em dia, bem como continua a pagar as prestações continuadas, do aludido programa, mesmo após a indevida exclusão do REFIS. Ocorre que a impetrante, em data de ... de ... de ..., através da Portaria nº 69 foi excluída do REFIS, sem haver sido notificada, cientificada ou, de qualquer modo, comunicada da referida exclusão, nem lhe foi oportunizado o direito constitucional de ampla defesa. A razão da exclusão do programa em comento se prende, segundo informações da autoridade coatora, à circunstância de haver impetrante compensado tributos, a partir de ... de ... , cujos pedidos restaram sem qualquer indeferimento por parte da autoridade administrativa. A impetrante protocolizou a Receita Federal em ... , pedidos de compensação de tributos, posto ser credora da mesma Receita Federal de tributos correspondentes do IPI, pagos a maior e com decisão judicial favorável, estampada em Carta de Sentença extraída dos autos sob nº ... , do TRF da 4ª Região. E também, com sentença favorável nos autos nº ... , do mesmo Tribunal. A impetrante esclarece a Vossa Excelência que é coligada com a empresa ... portadora de crédito tributário estampado nas ações nº... e ... , do TRF da 4ª Região, pelo capital social, e recebeu ditos créditos de sua coligada, portanto, não configura créditos de terceiros e não há qualquer espancamento à Instrução SRF nº 41, de 07. 04.2000 e ainda por relevante, o ingresso no Judiciário, para reclamar os créditos, foi anterior à falada Instrução. A compensação dos referidos tributos é de direito líquido e certo da impetrante, posto que, inclusive abalizada por decisão do Poder Judiciário. Entrementes, o órgão admi nistrativo, apesar do grande lapso temporal decorrido, não se pronunciou sobre os pedidos supra-expendidos, deixando em aberto, por sua culpa, o sistema de conta-corrente da Receita Federal. A inércia e o silêncio da administração acarretaram lesão grave ao direito da impetrante, lesão esta corporificada através do ato coator emanado da autoridade administrativa. O recurso manejado junto à autoridade administrativa, pleiteando a reinclusão no REFIS, não obteve ressonância até a presente data, posto que mesmo insistentemente diligenciado, o seu resultado não foi trazido ao conhe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2026-07-28T03:00:02.419Z</dcterms:created>
  <dcterms:modified xsi:type="dcterms:W3CDTF">2026-07-28T03:00:02.419Z</dcterms:modified>
</cp:coreProperties>
</file>

<file path=docProps/custom.xml><?xml version="1.0" encoding="utf-8"?>
<Properties xmlns="http://schemas.openxmlformats.org/officeDocument/2006/custom-properties" xmlns:vt="http://schemas.openxmlformats.org/officeDocument/2006/docPropsVTypes"/>
</file>