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CÓDIGO DE TRÂNSITO BRASILEIRO</w:t>
      </w:r>
    </w:p>
    <w:p/>
    <w:p>
      <w:r>
        <w:rPr>
          <w:b/>
          <w:bCs/>
        </w:rPr>
        <w:t xml:space="preserve">Recurso: </w:t>
      </w:r>
      <w:r>
        <w:t xml:space="preserve">Ap. Cível 558/80.</w:t>
      </w:r>
    </w:p>
    <w:p/>
    <w:p>
      <w:r>
        <w:t xml:space="preserve">PEDIDO DE MEDIDA LIMINAR DE SEPARAÇÃO DE CORPOS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DE FAMÍLIA DE ... ..., brasileiro (a), (estado civil), profissional da área de ..., portador (a) do CIRG n.º ... e do CPF n.º ..., residente e domiciliado (a) na Rua ..., n.º ..., Bairro ..., Cidade ..., Estado ..., por intermédio de seu (sua) advogado(a) e bastante procurador(a) (procuração em anexo - doc. 01), com escritório profissional sito à Rua ..., nº ..., Bairro ..., Cidade ..., Estado ..., onde recebe notificações e intimações, vem mui respeitosamente à presença de Vossa Excelência propor MEDIDA CAUTELAR DE SEPARAÇÃO DE CORPOS. em face de ..., brasileiro (a), (estado civil), profissional da área de ..., portador (a) do CIRG n.º ... e do CPF n.º ..., residente e domiciliado (a) na Rua ..., n.º ..., Bairro ..., Cidade ..., Estado ..., pelos motivos de fato e de direito a seguir aduzidos. PRELIMINARMENTE Por ser pobre na acepção jurídica do termo, a autora vem requerer a concessão da Justiça Gratuita, com base na Lei 1.060/50. DO MÉRITO DOS FATOS A Requerente é casada com o Requerido desde a data de ..., casamento este celebrado sob o Regime da comunhão de Bens, conforme infere cópia da certidão em anexo (doc. ...). Da união matrimonial adveio o nascimento de ... (... ) filhos, a saber: ..., nascido aos ... dias do mês de ... de ..., conforme cópia da certidão em anexo (doc. ...) ; ... nascida aos ...dias do mês de ... de ..., conforme cópia da certidão inclusa (doc. ...) ; Sendo ambos menores impúberes e incapazes, ... com ... e ... anos, respectivamente. O casal conviveu relativamente bem nos primeiros ... anos de casamento a partir do que o Requerido passou a dispensar tratamento de violência à Autora e aos seus filhos, situação que se agravou pelo fato do mesmo ser viciado em bebidas alcóolicas, o que o faz perder totalmente o controle emocional, cada vez com mais freqüência. A Requerente tentou amigavelmente resolver a si tuação, pedindo freqüentemente que ele abandonasse o vício; procurando inclusive, em ... do corrente ano ajuda junto a Delegacia da Mulher (doc. ... e ...), mas ambas as tentativas foram infrutíferas. Em razão do que desde esta ocasião o casal encontra-se dormindo em quartos separados. É o Requerido pessoa de alta periculosidade, trazendo prejuízos concretos a mulher e filhos, quando os agride física e moralmente, inclusive destruindo portas e objetos de dentro do lar conjugal. Vive a Autora numa situação de total constrangimento não só perante sua família, mas também em relação as vizinhas, as quais säo ameaçadas sexualmente pelo Requerido. Teme a Requerente pela segurança em especial de ..., filha do casal, a qual constantemente, além de presenciar investidas de seu genitor contra terceiras pessoas, é igualmente ameaçada sexualmente pelo mesmo. Como se não bastasse, o Requerido não colabora em nada para o sustento da família, ficando a cargo da Autora toda a despesa no que tange a alimentação, vestuário, moradia, etc. Esse estado de coisas näo pode perdurar uma vez que o prejuízo sentido na prole é muito grande, pois as crianças são obrigadas a presenciar obscenidades de seu próprio pai, quando o mesmo, invertendo a situação, tenta denegrir a imagem da mãe perante as mesmas. Obstado o convívio familiar, a Requerente não se sente em condições psicológicas de que seu marido permaneça sob o mesmo teto conjugal dela e de seus filhos, quando busca a presente separação de corpos como medida preparatória da AÇÃO PRINCIPAL DE SEPARAÇÃO LITIGIOSA a ser proposta no prazo preconizado em lei, até porque surge a questão cautelar na espécie enfocada. Em verdade, o afastamento do cônjuge, ora Requerido, do lar conjugal, é o que melhor atende à conveniência e à comodidade dos filhos e do próprio casal. 0 espírito da lei é exatamente este, dar guarida à pretensão que melhor acomode os interesses da família, notadamente o dos filhos. DO D IREITO Nos termos da lei material, explicita o Novo Código Civil, em seu artigo 1562, o aspecto cautelar da separação de corpos, como anterioridade da separação, cuja redação antiga nominava como desquite. "Antes de mover ação de nulidade do casamento, a de anulação, a de separação judicial, a de divórcio direto ou a de dissolução de união estável, poderá requerer a parte, comprovando sua necessidade, a separação de corpos, que será concedida pelo juiz com a possível brevidade". Na mesma esteira, define a Lei n 6.515/77 (lei do Divórcio) em seu artigo 7º, parágrafo 1º. "a separação de corpos poderá ser determinada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2026-07-28T01:54:11.013Z</dcterms:created>
  <dcterms:modified xsi:type="dcterms:W3CDTF">2026-07-28T01:54:11.013Z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