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CONSTRUÇÃO</w:t>
      </w:r>
    </w:p>
    <w:p>
      <w:r>
        <w:rPr>
          <w:i/>
          <w:iCs/>
          <w:color w:val="666666"/>
        </w:rPr>
        <w:t xml:space="preserve">RESPONSABILIDADE DO ENGENHEIRO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MAJORAÇÃO — LEI NOVA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tema relativo à incidência da lei nova mais favorável sobre o benefício previdenciário já foi debatido inúmeras vezes, no âmbito das Turmas que compõem a Terceira Seção, tendo-se consolidado a jurisprudência nos termos adotados pela decisão ora agravada. - Da leitura dos precedentes então mencionados, percebe-se que não há aqui divergência acerca do tema. - Disse e repito, a lei que aumentou o percentual do auxílio-acidente deve incidir desde logo, alcançando, inclusive, os benefícios em manutenção, como na hipótese dos autos, não havendo falar em aplicação retroativa, e sim em incidência imediata da norma. Ora, a lei nova mais benéfica aplica-se não só aos benefícios pendentes, mas a todos os que já foram concedidos e estão em manutenção, ainda que a concessão tenha ocorrido na vigência de lei pretérita. Não há retroação alguma; o que há é aplicação da norma de forma igualitária, pois o aumento do percentual só passa a valer a partir da entrada em vigor da nova lei. - Nego provimento ao regimental. Ac. de 04-05-2006 DJ de 05-06-2006, pág. 323 (Reg. nº 2002/0070015-4) Arquivo do EMFOR, STJ/N 6787 EMENTÁRIO FORENSE. Agosto, 2006. Ano LVIII. Nº 693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nova mais benéfica aplica-se não só aos benefícios pendentes, mas a todos os que já foram concedidos e estão em manutenção, ainda que a concessão tenha ocorrido na vigência de lei pretérita.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2026-09-10T23:36:20.354Z</dcterms:created>
  <dcterms:modified xsi:type="dcterms:W3CDTF">2026-09-10T23:36:20.354Z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