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re -</w:t>
      </w:r>
    </w:p>
    <w:p/>
    <w:p>
      <w:r>
        <w:t xml:space="preserve">01. ENUNCIADOS AO CÓDIGO CIVIL
      PARTE GERAL</w:t>
      </w:r>
    </w:p>
    <w:p/>
    <w:p>
      <w:pPr>
        <w:pStyle w:val="Heading2"/>
      </w:pPr>
      <w:r>
        <w:rPr>
          <w:b/>
          <w:bCs/>
        </w:rPr>
        <w:t xml:space="preserve">Ementa</w:t>
      </w:r>
    </w:p>
    <w:p>
      <w:r>
        <w:t xml:space="preserve">PARTE GERAL 138 - Art. 3º: A vontade dos absolutamente incapazes, na hipótese do inc. I do art. 3º, é juridicamente relevante na concretização de situações existenciais a eles concernentes, desde que demonstrem discernimento bastante para tanto. 139 - Art. 11: Os direitos da personalidade podem sofrer limitações, ainda que não especificamente previstas em lei, não podendo ser exercidos com abuso de direito de seu titular, contrariamente à boa-fé objetiva e aos bons costumes. 140 - Art. 12: A primeira parte do art. 12 do Código Civil refere-se às técnicas de tutela específica, aplicáveis de ofício, enunciadas no art. 461 do Código de Processo Civil, devendo ser interpretada com resultado extensivo. 141 - Art. 41: A remissão do art. 41, parágrafo único, do CC às "pessoas jurídicas de direito público, a que se tenha dado estrutura de direito privado", diz respeito às fundações públicas e aos entes de fiscalização do exercício profissional. 142 - Art. 44: Os partidos políticos, os sindicatos e as associações religiosas possuem natureza associativa, aplicando-se-lhes o Código Civil. 143 - Art. 44: A liberdade de funcionamento das organizações religiosas não afasta o controle de legalidade e legitimidade constitucional de seu registro, nem a possibilidade de reexame pelo Judiciário da compatibilidade de seus atos com a lei e com seus estatutos. 144 - Art. 44: A relação das pessoas jurídicas de Direito Privado, constante do art. 44, incs. I a V, do Código Civil, não é exaustiva. 145 - Art. 47: O art. 47 não afasta a aplicação da teoria da aparência. 146 - Art. 50: Nas relações civis, interpretam-se restritivamente os parâmetros de desconsideração da personalidade jurídica previstos no art. 50 (desvio de finalidade social ou confusão patrimonial). (Este Enunciado não prejudica o Enunciado n. 7) 147 - Art. 66: A expressão "por mais de um Estado", contida no § 2º do art. 66, não exclui o Distrito Federal e os Territórios. A atribuição d e velar pelas fundações, prevista no art. 66 e seus parágrafos, ao MP local - isto é, dos Estados, DF e Territórios onde situadas - não exclui a necessidade de fiscalização de tais pessoas jurídicas pelo MPF, quando se tratar de fundações instituídas ou mantidas pela União, autarquia ou empresa pública federal, ou que destas recebam verbas, nos termos da Constituição, da LC n. 75/93 e da Lei de Improbidade. 148 - Art. 156: Ao "estado de perigo" (art. 156) aplica-se, por analogia, o disposto no § 2º do art. 157. 149 - Art. 157: Em atenção ao princípio da conservação dos contratos, a verificação da lesão deverá conduzir, sempre que possível, à revisão judicial do negócio jurídico e não à sua anulação, sendo dever do magistrado incitar os contratantes a seguir as regras do art. 157, § 2º, do Código Civil de 2002. 150 - Art. 157: A lesão de que trata o art. 157 do Código Civil não exige dolo de aproveitamento. 151 - Art. 158: O ajuizamento da ação pauliana pelo credor com garantia real (art. 158, § 1º) prescinde de prévio reconhecimento judicial da insuficiência da garantia. 152 - Art. 167: Toda simulação, inclusive a inocente, é invalidante. 153 - Art. 167: Na simulação relativa, o negócio simulado (aparente) é nulo, mas o dissimulado será válido se não ofender a lei nem causar prejuízos a terceiros. 154 - Art. 194: O juiz deve suprir de ofício a alegação de prescrição em favor do absolutamente incapaz. 155 - Art. 194: O art. 194 do Código Civil de 2002, ao permitir a declaração ex officio da prescrição de direitos patrimoniais em favor do absolutamente incapaz, derrogou o disposto no § 5º do art. 219 do CPC. 156 - Art. 198: Desde o termo inicial do desaparecimento, declarado em sentença, não corre a prescrição contra o ausente. 157 - Art. 212: O termo "confissão" deve abarcar o conceito lato de depoimento pessoal, tendo em vista que este consiste em meio de prova de maior abrangência, plenamente admissível no ordenamento jurídi co brasileiro. 158 - Art. 215: A amplitude da noção de "prova plena" (isto é, "completa") importa presunção relativa acerca dos elementos indicados nos incisos do §1º, devendo ser conjugada com o disposto no parágrafo único do art. 219. EMENTÁRIO FORENSE. Agosto, 2006. Ano LVIII. Nº 693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2026-07-28T04:22:10.236Z</dcterms:created>
  <dcterms:modified xsi:type="dcterms:W3CDTF">2026-07-28T04:22:10.236Z</dcterms:modified>
</cp:coreProperties>
</file>

<file path=docProps/custom.xml><?xml version="1.0" encoding="utf-8"?>
<Properties xmlns="http://schemas.openxmlformats.org/officeDocument/2006/custom-properties" xmlns:vt="http://schemas.openxmlformats.org/officeDocument/2006/docPropsVTypes"/>
</file>