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REsp 28.519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PEÇANHA MARTINS</w:t>
      </w:r>
    </w:p>
    <w:p/>
    <w:p>
      <w:r>
        <w:t xml:space="preserve">CAIXA ECONÔMICA FEDERAL — SUA LEGITIMIDADE PASSIVA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"Como agente operador do FGTS, incumbe à CEF centralizar os respectivos recursos, manter e controlar as contas vinculadas e proceder à correção monetária e à capitalização dos juros, creditando os resultados aos legítimos beneficiários das referidas contas. A União Federal não tem legitimidade para integrar a lide como litisconsorte passivo" (REsp n. 28.519, 2ª T., Rel. Min. PEÇANHA MARTINS). "Já é tranqüilo nesta E. Corte o entendimento de que a Caixa Econômica Federal é parte legítima em ações onde se pleiteia a aplicação do IPC nos saldos das contas do FGTS..." (REsp n. 66.174, 1ª T., Rel. Min. GARCIA VIEIRA). Ac. de 03-04-1997 Arquivo do EMFOR, TRF/N 1.757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Conforme pacífica jurisprudência do STJ, a Caixa Econômica Federal tem legitimidade "ad causam" para responder ação sobre diferenças de correção monetária do FGTS, sendo a União Federal, nesses casos, parte ilegítima.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2026-07-28T02:23:38.895Z</dcterms:created>
  <dcterms:modified xsi:type="dcterms:W3CDTF">2026-07-28T02:23:38.895Z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