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agravo de instrumento .</w:t>
      </w:r>
    </w:p>
    <w:p/>
    <w:p>
      <w:r>
        <w:t xml:space="preserve">IMPUGNAÇÃO À CONTESTAÇÃO, EM QUE O AUTOR DIFERENCIA A RESPONSABILIDADE DO ESTADO DA RESPONSABILIDADE DA EMPREGADORA FACE À ACIDENTE DO TRABALHO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o INSS, à presença de Vossa Excelência apresentar IMPUGNAÇÃO À CONTESTAÇÃO pelos motivos de fato e de direito a seguir aduzidos. A) DA MANIFESTAÇÃO DA EMPREGADORA 1.CARÊNCIA DE AÇÃO Efetivamente o autor não pode manejar ação previdenciária em face da sua ex-empregadora, com base nas leis acima mencionadas, porquanto a concessão do benefício perseguido pelo autor na presente ação acidentária é obrigação objetiva do Instituto Nacional do Seguro Social, segundo as normas Constitucionais vigentes de na legislação previdenciária infraconstitucional a (Leis nºs. 8.212/91 e 8.213/91, e Decreto nº 3.048/99). A despeito disso, importa repisar que qualquer pretensão da parte autora, relativamente a eventual indenização decorrente da culpa ou dolo da ex-empregadora, deverá ser formulada em ação própria, não se admitindo jamais que tal pretensão possa ser deduzida nos estreitos limites do procedimento acidentário. Destaca-se, ainda, que, a pretensão deduzida na ação acidentária guarda correlação com a responsabilidade objetiva o órgão previdenciário, sendo esta responsabilidade, como já se disse, fundada na Constituição Federal e na Lei nº 8213/91, não se confundindo com a responsabilidade da empregadora, que está consubstanciada no disposto no inciso XVIII, do artigo 7º, da Constituição Federal e artigo 186, do Novo Código Civil. D e qualquer modo, compete ao órgão previdenciário manejar a competente ação regressiva contra a empresa contestante, na hipótese de restar comprovado o não cumprimento das Normas Regulamentares que trata da Segurança e Saúde no trabalho individual e coletivo, nos termos do artigo 120, da Lei nº 8.213/91, por parte da antiga empregadora do autor. Destaca-se, ainda, que, não há que se falar em ação regressiva no presente feito ou se admitir que seja carreada para a empregadora a indenização acidentária que for fixada no pronunciamento jurisdicional perseguido na presente ação. Se alguma indenização deve ser carreada à antiga empregadora do autor, deverá ser requerida em ação própria pelo INSS (art. 120 da Lei nº 8.213/91). 2. DA INCOMPETÊNCIA DE JUÍZO A preliminar de competência argüida pela contestante é improcedente e assim deverá ser julgada, senão vejamos: Dispõe o artigo 109, inciso I, da Constituição Federal, que: "Art. 109. Aos juízes federais compete processar e julgar: I - As causas em que a União, entidade autárquica ou empresa pública federal forem interessadas na condição de autoras, rés, assistentes ou oponentes, exceto as de falência, as de acidente de trabalho e as sujeitas à Justiça Eleitoral e à Justiça do Trabalho". Por outras palavras, houvesse o legislador estendido a competência da Justiça do Trabalho para o julgamento das ações acidentárias não teria distinguido esta das exceções que refogem à competência dos juízes federais. Na legislação infraconstitucional encontramos diretrizes que evidenciam a competência dessa Justiça Estadual para apreciar a matéria previdenciária decorrente do acidente de trabalho. Assim, improcede a preliminar de incompetência argüida pela empresa contestante. B) DA CONTESTAÇÃO DO INSS PRELIMINARMENTE DA COISA JULGADA A alegação de coisa julgada sustenta pela contestante não guarda correlação com matéria debatida no presente feito, porquanto se refere a ação trabalhista q ue tramitou perante a Vara do Trabalho dessa cidade de São José dos Pinhais, e se refere às questões específicas e decorrentes do contrato de trabalho, de competência estrita daquela Justiça Especializada. Por seu lado, o objeto da ação acidentária é a percepção de benefício previdenciário na modalidade de auxílio acidentário, decorrente de doença profissional adquirida na vigência do pacto laboral, formulada com base na legislação previdenciária (Leis nºs. 8.212/91 e 8.213/91, e Decreto nº 3.048/99). No caso presente, não existe a figura jurídica da coisa julgado, porquanto a matéria debatida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2026-10-26T06:09:13.248Z</dcterms:created>
  <dcterms:modified xsi:type="dcterms:W3CDTF">2026-10-26T06:09:13.248Z</dcterms:modified>
</cp:coreProperties>
</file>

<file path=docProps/custom.xml><?xml version="1.0" encoding="utf-8"?>
<Properties xmlns="http://schemas.openxmlformats.org/officeDocument/2006/custom-properties" xmlns:vt="http://schemas.openxmlformats.org/officeDocument/2006/docPropsVTypes"/>
</file>