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agravo de instrumento .</w:t>
      </w:r>
    </w:p>
    <w:p/>
    <w:p>
      <w:r>
        <w:t xml:space="preserve">IMPUGNAÇÃO À CONTESTAÇÃO, EM QUE O AUTOR DIFERENCIA A RESPONSABILIDADE DO ESTADO DA RESPONSABILIDADE DA EMPREGADORA FACE À ACIDENTE DO TRABALHO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à presença de Vossa Excelência apresentar IMPUGNAÇÃO À CONTESTAÇÃO pelos motivos de fato e de direito a seguir aduzidos. A) DA MANIFESTAÇÃO DA EMPREGADORA 1.CARÊNCIA DE AÇÃO Efetivamente o autor não pode manejar ação previdenciária em face da sua ex-empregadora, com base nas leis acima mencionadas, porquanto a concessão do benefício perseguido pelo autor na presente ação acidentária é obrigação objetiva do Instituto Nacional do Seguro Social, segundo as normas Constitucionais vigentes de na legislação previdenciária infraconstitucional a (Leis nºs. 8.212/91 e 8.213/91, e Decreto nº 3.048/99). A despeito disso, importa repisar que qualquer pretensão da parte autora, relativamente a eventual indenização decorrente da culpa ou dolo da ex-empregadora, deverá ser formulada em ação própria, não se admitindo jamais que tal pretensão possa ser deduzida nos estreitos limites do procedimento acidentário. Destaca-se, ainda, que, a pretensão deduzida na ação acidentária guarda correlação com a responsabilidade objetiva o órgão previdenciário, sendo esta responsabilidade, como já se disse, fundada na Constituição Federal e na Lei nº 8213/91, não se confundindo com a responsabilidade da empregadora, que está consubstanciada no disposto no inciso XVIII, do artigo 7º, da Constituição Federal e artigo 186, do Novo Código Civil. D e qualquer modo, compete ao órgão previdenciário manejar a competente ação regressiva contra a empresa contestante, na hipótese de restar comprovado o não cumprimento das Normas Regulamentares que trata da Segurança e Saúde no trabalho individual e coletivo, nos termos do artigo 120, da Lei nº 8.213/91, por parte da antiga empregadora do autor. Destaca-se, ainda, que, não há que se falar em ação regressiva no presente feito ou se admitir que seja carreada para a empregadora a indenização acidentária que for fixada no pronunciamento jurisdicional perseguido na presente ação. Se alguma indenização deve ser carreada à antiga empregadora do autor, deverá ser requerida em ação própria pelo INSS (art. 120 da Lei nº 8.213/91). 2. DA INCOMPETÊNCIA DE JUÍZO A preliminar de competência argüida pela contestante é improcedente e assim deverá ser julgada, senão vejamos: Dispõe o artigo 109, inciso I, da Constituição Federal, que: "Art. 109. Aos juízes federais compete processar e julgar: I - As causas em que a União, entidade autárquica ou empresa pública federal forem interessadas na condição de autoras, rés, assistentes ou oponentes, exceto as de falência, as de acidente de trabalho e as sujeitas à Justiça Eleitoral e à Justiça do Trabalho". Por outras palavras, houvesse o legislador estendido a competência da Justiça do Trabalho para o julgamento das ações acidentárias não teria distinguido esta das exceções que refogem à competência dos juízes federais. Na legislação infraconstitucional encontramos diretrizes que evidenciam a competência dessa Justiça Estadual para apreciar a matéria previdenciária decorrente do acidente de trabalho. Assim, improcede a preliminar de incompetência argüida pela empresa contestante. B) DA CONTESTAÇÃO DO INSS PRELIMINARMENTE DA COISA JULGADA A alegação de coisa julgada sustenta pela contestante não guarda correlação com matéria debatida no presente feito, porquanto se refere a ação trabalhista q ue tramitou perante a Vara do Trabalho dessa cidade de São José dos Pinhais, e se refere às questões específicas e decorrentes do contrato de trabalho, de competência estrita daquela Justiça Especializada. Por seu lado, o objeto da ação acidentária é a percepção de benefício previdenciário na modalidade de auxílio acidentário, decorrente de doença profissional adquirida na vigência do pacto laboral, formulada com base na legislação previdenciária (Leis nºs. 8.212/91 e 8.213/91, e Decreto nº 3.048/99). No caso presente, não existe a figura jurídica da coisa julgado, porquanto a matéria debatida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2026-07-28T00:28:17.501Z</dcterms:created>
  <dcterms:modified xsi:type="dcterms:W3CDTF">2026-07-28T00:28:17.501Z</dcterms:modified>
</cp:coreProperties>
</file>

<file path=docProps/custom.xml><?xml version="1.0" encoding="utf-8"?>
<Properties xmlns="http://schemas.openxmlformats.org/officeDocument/2006/custom-properties" xmlns:vt="http://schemas.openxmlformats.org/officeDocument/2006/docPropsVTypes"/>
</file>