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MEDIDA CAUTELAR INOMINADA</w:t>
      </w:r>
    </w:p>
    <w:p/>
    <w:p/>
    <w:p>
      <w:r>
        <w:t xml:space="preserve">MEDIDA CAUTELAR INOMINADA PARA REAVER DO INSS DIFERENÇAS ACERCA DE BENEFÍCIO PREVIDENCIÁRIO MONETARIAMENTE CORRIGIDO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PREVIDENCIÁRIA DA JUSTIÇA FEDERAL ....., SEÇÃO JUDICIÁRIA DE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propor: MEDIDA CAUTELAR INOMINADA em face de INSTITUTO NACIONAL DO SEGURO SOCIAL - INSS, Autarquia Federal, integrante do Ministério do Trabalho e Previdência Social, com Superintendência regional em .........., neste Estado, na Rua ..... n.º ....., Bairro ....., Cidade ....., Estado ....., pelos motivos de fato e de direito a seguir aduzidos. DOS FATOS Os autores estão percebendo benefício previdenciário, protocolados sob n.º ........, respectivamente, com renda mensal inicial fixada pelo réu e os reajustes por ele aplicados. Desde o mês de ..../...., os autores passaram a receber seu beneficio pela equivalência salarial, tendo como base o salário mínimo por mês, respectivamente, assim fixados: 2.05; 4.62; 9.60; 3.79; 6.47; 4.97; 6.16; 60% de 12.13 e 1.41; 5.52 e 3.99. A autora ........., recebe pensão (60% de 12.13) e aposentadoria (1.41). O réu passou a pagar o benefício pela equivalência salarial, em cumprimento ao artigo 58 das disposições Constitucionais Transitórias da Constituição Federal vigente. Ocorre que, para a surpresa e perplexidade dos autores, no mês de outubro/91, ao receberem a renda mensal de seu benefício, referente a competência do mês de setembro/91, constataram que os mesmos somente tiveram 54,60% de reajuste e não 147,06%, como fora reajustado o salário mínimo e o salário de contribuição. Este reaju ste fez com que o valor do benefício dos autores perdessem, em muito, seu poder aquisitivo, considerando-se o valor do benefício que vinha sendo mantido. O réu, simplesmente, deixou de lado a garantia trazida pela Lei 8.213/91, da preservação do poder aquisitivo do valor do benefício e a sua irredutibilidade. Estes princípios, também são constitucionais. O réu não cumprindo com a norma vigente reduziu a renda mensal dos benefícios dos autores, causando-lhes sensíveis prejuÍzos, não só com repercussão imediata, mas também futura, com reflexo negativo nos reajustes futuros. DO DIREITO. O réu cometeu várias violações de Direito, quer previstos na Lei 8.213/91. Inicialmente, vamos ao que determina a Constituição Federal vigente, no Ato das Disposições Constitucionais Transitórias, artigo 58: "Art. 58 - Os benefícios de prestação continuada, mantidos pela previdência social na data da promulgação da Constituição, terão seus valores revistos a fim de que seja restabelecido o poder aquisitivo, expresso em número de salários mínimos, que tinham na data de sua concessão, obedecendo-se a esse critério de atualização até a implantação do plano de custeio e benefícios referidos no artigo seguinte". (grifo não do original). A partir do mês de abril de 1989, dentro do prazo estabelecido no parágrafo único do referido artigo, o réu passou a pagar os benefícios pela equivalência salarial, cumprindo assim o que lhe impôs a Constituição Federal. Entretanto, desde o mês de setembro/91 o réu deixou de efetuar os pagamentos dos benefícios pela equivalência salarial, alegando em sua defesa, de que com o advento da Lei 8.213/91, o artigo 58 das Disposições transitórias não mais prevalece. Ele era transitório. O artigo 58 das Disposições Constitucionais Transitórias, acima citado e transcrito, é claro no sentido de que, o sistema de atualização pela equivalência salarial perduraria até a implantação do plano de custeio e de benefícios. Entretanto, este plano de benefícios e custeio, segundo entendimento do réu, em setembro/91 ainda não estava implantado, pois faltava a sua regulamentação, conforme determinou a Lei nº 8.213 de 24.07.91 (D.O.U 25/07/91). Muito bem. Vejamos. A referida Lei determina que para a fixação da renda mensal inicial dos benefícios, seja baseada nos 36 últimos salários-de-contribuição, corrigindo-se mês a mês. Contudo, embora a lei esteja em vigência desde 25 de julho de 1991 (Lei 8.213), o réu, ainda esta calculando os benefícios pelo critério antigo. Em anexo fotocópia da portaria que fixou os índices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2026-07-28T00:24:38.357Z</dcterms:created>
  <dcterms:modified xsi:type="dcterms:W3CDTF">2026-07-28T00:24:38.357Z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