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REAJUSTE DE BENEF PREVIDENCIÁRIO</w:t>
      </w:r>
    </w:p>
    <w:p/>
    <w:p/>
    <w:p>
      <w:r>
        <w:t xml:space="preserve">RECOLHIMENTO PREVIDENCIÁRIO — EXIGÊNCIA DE VALOR INDEVIDO</w:t>
      </w:r>
    </w:p>
    <w:p/>
    <w:p>
      <w:pPr>
        <w:pStyle w:val="Heading2"/>
      </w:pPr>
      <w:r>
        <w:rPr>
          <w:b/>
          <w:bCs/>
        </w:rPr>
        <w:t xml:space="preserve">Ementa</w:t>
      </w:r>
    </w:p>
    <w:p>
      <w:r>
        <w:t xml:space="preserve">EXMO. SR. DR. JUIZ DA ..... VARA DA JUSTIÇA FEDERAL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impetrar MANDADO DE SEGURANÇA em face de CHEFE DO POSTO DE ARRECADAÇÃO E FISCALIZAÇÃO DO INSS em ......, em o SUPERINTENDENTE REGIONAL DO INSS, sediado no prédio da autarquia, na Rua ....., n.º ....., Bairro ....., Cidade ....., Estado ....., pelos motivos de fato e de direito a seguir aduzidos. DOS FATOS O IMPETRANTE esteve inscrito no então INPS (hoje INSS), na qualidade de contribuinte individual (EMPREGADOR), conforme comprovante de inscrição n.º ......, desde ....../....., documento anexo (DOC. ....). Encerrando sua firma individual, o IMPETRANTE, em data de .../..../....., foi admitido na função de ferramenteiro na empresa ..........., de .........., conforme comprova com o Registro de Empregado n.º ....... anexo (DOC....). Considerando ter completado o tempo de serviço exigido para obtenção de benefício junto ao INSS, o IMPETRANTE em .../..../...., requereu Aposentadoria por Tempo de Serviço, conforme documento anexo (DOC....). O IMPETRADO, considerando estar o IMPETRANTE em atraso com o pagamento das contribuições a partir de .../.... e até .../..., emitiu o Relatório de Cálculo de Média de DIC (Doc.....) e Relatório Discriminativo de Cálculo da Retroação de DIC (Doc.....), para pagamento destas contribuições, cujo valor ascende a R$ .........., com validade até .../..../.... Ocorre que no período de .../... a .../...., o IMPETRANTE contribuía sempre na classe 01, conforme poderá ser comprovado através dos carnês de contribuição juntos ao processo do pedido de aposentadoria. As contribuições daquele período, se forem corrigidas pelos índices de ..../...., mês em que o IMPETRADO calculou o que consta dos documentos números ... e ..., será bastante inferior ao que consta daqueles documentos. Para a elaboração do cálculo de indenização, louvou-se o INSS nas seguintes disposições da Ordem de Serviço Conjunta INSS/DAF/DAA n.º 55, de 19.11.96 (Doc....) e outras disposições de Lei, como se verá: a) o tempo de serviço anterior ou posterior à obrigatoriedade de filiação à Previdência Social só será computado mediante indenização da contribuição correspondente ao período respectivo, acrescido de juros moratórios de um por cento ao mês e multa de 10% (dez por cento), art. 96, inciso IV da Lei n.º 8.212/91 - item 1.2 do anexo I da OS-Ordem de Serviço n.º 55/96; b) O Posto de Arrecadação e Fiscalização com base nas informações prestadas pelo Seguro Social, emitirá a GRPS-3 para fins de recolhimento pelo segurado (item 2 da OS e disposições do anexo II); c) A remuneração sobre o qual incidirão os cálculos para fins de indenização será aquela vigente (atualizada) na data do requerimento (item 5.2 da OS n.º 55/96). Atendendo, pois, as disposições da OS 55/96, o Posto de Arrecadação e Fiscalização emitirá para o IMPETRANTE a GRPS-3, no valor além do que realmente seria devido se calculado sobre a classe 01, incluindo juros e multa, cujo recolhimento é condição sine qua non para a concessão da aposentadoria devida. DO DIREITO A exigência do recolhimento do valor apontado no documento n.º ..., apresenta-se abusivo, sob duplo fundamento. Primeiro porque já havia sido operada a decadência do INSS pretender a indenização. Subsidiariamente, apresenta-se abusiva a exigência do recolhimento, porque o débito foi calculado a maior, visto que o IMPETRADO, interpretando equiv ocadamente a disposição do art. 45, § 3o c/c os arts. 28, § 3o e 29 da Lei n.º 8.212/91 (custeio) e c/c os arts. 94 e 96 da Lei n.º 8.213/91 (reproduzidos basicamente nos arts. 193 e 207 da RBPS e na OS-55/96), culminou por calcular o principal sobre o limite do salário de contribuição recolhido pelo impetrante, na qualidade de empregado, nos últimos 36 (trinta e seis) meses, ao invés de faze-lo pelo salário de contribuição da primeira escala do enquadramento de empregador, o qual devia ser tomado como referencial na época (equivalente a um salário mínimo regional - art. 226 do Decre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2026-07-28T00:24:34.723Z</dcterms:created>
  <dcterms:modified xsi:type="dcterms:W3CDTF">2026-07-28T00:24:34.723Z</dcterms:modified>
</cp:coreProperties>
</file>

<file path=docProps/custom.xml><?xml version="1.0" encoding="utf-8"?>
<Properties xmlns="http://schemas.openxmlformats.org/officeDocument/2006/custom-properties" xmlns:vt="http://schemas.openxmlformats.org/officeDocument/2006/docPropsVTypes"/>
</file>