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2.870</w:t>
      </w:r>
    </w:p>
    <w:p/>
    <w:p>
      <w:r>
        <w:t xml:space="preserve">ARBITRAMENTO SOBRE O VALOR DA CAUSA — A PARTIR DE QUANDO INCIDE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ARBITRADOS OS HONORÁRIOS ADVOCATÍCIOS EM PERCENTUAL SOBRE O VALOR DA CAUSA A CORREÇÃO MONETÁRIA INCIDE A PARTIR DO RESPECTIVO AJUIZAMENTO. Referência: Lei 6.899, de 8-04-81, art. 1º, §§ 1º e 2º. Código de Processo Civil, art. 20 e parágrafos. REsp. 2.870 - MS (2ª S. 12-09-90 - DJ). REsp. 2.699 - SP (1ª T. 7-05-90 - DJ 21-05-90). REsp. 34 - SP (2ª T. 16-08-90 - DJ 11-09-89). REsp. 484 - PR (3ª T. 19-09-89 - DJ 6-11-89). REsp. 2.704 - MS (3ª T. 24-04-90 - DJ 28-05-90). Sessão de 8-11-90 - Corte Especial DJ 14-11-1990 - pág. 13.025.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2026-10-26T04:14:00.417Z</dcterms:created>
  <dcterms:modified xsi:type="dcterms:W3CDTF">2026-10-26T04:14:00.417Z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