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4.482-</w:t>
      </w:r>
    </w:p>
    <w:p>
      <w:r>
        <w:rPr>
          <w:b/>
          <w:bCs/>
        </w:rPr>
        <w:t xml:space="preserve">Julgado em: </w:t>
      </w:r>
      <w:r>
        <w:t xml:space="preserve">08/10/1990</w:t>
      </w:r>
    </w:p>
    <w:p/>
    <w:p>
      <w:r>
        <w:t xml:space="preserve">A PARTIR DE QUANDO INCIDE — RECOMENDAÇÕES AO JULGADOR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Começando a apreciação do recurso pela invocada divergência pretoriana, dele conheço. - Mas o desprovejo, na mesma linha que tenho adotado em casos precedentes. A propósito, transcrevo, por pertinente, voto que proferi no REsp n° 4.482-MG, unânime, julgado em 9-10-90, de que fui relator, verbis: "Ao votar, na qualidade de relator do REsp 3.078-MG, em 18-9 pp., quando já sumulada a matéria neste Tribunal, externei considerações que entendo oportuno transcrever neste julgamento, vazadas no seguinte teor: No REsp 972-SP, de que fui relator, tive oportunidade de afirmar: "A matéria não é nova, inclusive nesta turma, estando a surgir com freqüência nos tribunais do País, a exemplo do que ultimamente, na vigência da ordem constitucional anterior, vinha ocorrendo no Supremo Tribunal Federal, onde diversos foram os julgamentos proferidos, direcionados, diga-se de início, no sentido da tese da Recorrente (a respeito, além do aresto trazido no recurso (RTJ 102/705), poderiam ser lembrados, dentre outros, os constantes em RTJ 122/360, 117/1337 e de números 115.968 (julgado em 15-04-88), 111.009 (j. em 15-05-87-DJU de 29-05-87), 112.797 (j. em 08-05-87-DJU 29-05-87),108.412, 108.9 10 (DJU de 13-06-86), 114.545 (DJU de 11-03-88), 114.922 (DJU de 18-03-88)." - Tem-se discutido, via de regra, em se tratando de honorários arbitrados sobre o valor dado a causa, se a incidência da correção monetária seria devida a partir do ajuizamento da causa ou da data da decisão que impôs a verba. - Nesse último sentido, ou seja, o agasalhado pela Excelsa Corte, ementou o eg. Tribunal de Justiça do Rio de Janeiro, na rescisória n° 793/84, de que f oi relator o em. Desembargador José Carlos Barbosa Moreira: "Condenação em honorários advocatícios. Correção monetária: o termo inicial não é a data do ajuizamento da ação, mas a do julgamento, porque só então nasce, para o vencido, a dívida, em razão da sucumbência." - E, do corpo do acórdão, colhe-se, verbis: " ... não e razoável que se faça remontar a data do ajuizamento da inicial a correção monetária da aludida verba. Correção monetária significa atualização, em termos reais, do valor de algo que existe; e inconcebível que se queira corrigir o nada. Dívida inexistente não comporta correção, porque seu valor é igual a zero, e não pode tornar-se outro: aliás, constitui elementar verdade matemática que o resultado da multiplicação de zero por qualquer fator continua sempre a ser...zero. Ora, a dúvida que tem por objeto a verba honorária não existia ao tempo do ajuizamento da inicial. Ela veio a surgir, apenas, com o julgamento da ação rescisória. Com efeito: no sistema do direito brasileiro vigente, ao contrário do que ocorria antes da Lei n° 4.632, de 1 8-05-1965, que modificou o art. 64 do Código de Processo Civil de 1939, e cuja substância se conserva no atual estatuto, a condenação em honorários advocatícios não pressupõe qualquer ato ou comportamento doloso ou culposo de quem a sofre, mas repousa sobre o fato objetivo da derrota, como se costuma dizer, da sucumbência. E o que ressalta da dicção do art. 20, caput, 1ª parte, do Código em vigor: "A sentença condenará o vencido a pagar ao vencedor as despesas que antecipou e os honorários advocatícios". Destarte, quem deve honorários à outra parte, deve-los por haver ficado vencido; logo, não pode devê-los senão a partir do momento em que ficou vencido. Ate então, não ocorrera ainda o fato de que é conseqüência) a obrigação de pagar os honorários - e repugna bom senso admitir uma conseqüência que preexistia a causa!" - Na mesma causa, em grau de embargos infr ingentes, em acórdão relatado também por outro eminente processualista, o Desembargador João Carlos Pestana de Aguiar, acolheu-se por maioria, a tese contrária. - Nessas duas colocações está refletida a divergência existente, que não se pacificará mesmo após os referidos pronunciamentos da Suprema Corte, talvez porque, datados de época recente, não tiveram a maturação suficiente para influenciar de forma mais efetiva a jurisprudência. - Há muito, desde quando ainda integrante do eg. Tribunal de Alçada de Minas Gerais, optara pela corrente que veio a ser acolhida no Pretório Excelso. Contudo, como já tive ensejo de externar em mais de uma oportunidade neste Superior Tribunal de Justiça, quer em recurso especial (n° 514) quer em decisão proferida em agravo (n° 818), uma distinção há de ser feita. - Com efeito, se, na decisão de imposição da verba, o Judiciário (na sentença ou no acórdão) se limit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sumulado pela Corte, arbitrados os honorários advocatícios em percentual sobre o valor da causa, a correção monetária incide desde o ajuizamento. Recomendável, porem, que o órgão julgador explicite em sua decisão o momento dessa incidência.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2026-10-26T05:05:05.958Z</dcterms:created>
  <dcterms:modified xsi:type="dcterms:W3CDTF">2026-10-26T05:05:05.958Z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