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APELAÇÃO CÍVEL 0121715-8</w:t>
      </w:r>
    </w:p>
    <w:p/>
    <w:p>
      <w:r>
        <w:t xml:space="preserve">REVISÃO DE CONTRATO DE LEASING CUMULADO COM MANUTENÇÃO DE POSSE</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REVISIONAL DE CONTRATO DE LEASING CUMULADA COM MANUTENÇÃO DE POSSE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O autor firmou contrato de arrendamento mercantil (leasing), com a empresa requerida em .... de .... de .... Pretendia, no primeiro momento, realizar um simples financiamento, sendo, no entanto, oferecido ao consumidor um negócio que, ora mantinha características de compra e venda, ora apresentava características totalmente díspares do modelo contratual oferecido. Na realidade, sendo pessoa destituída de conhecimentos específicos na área jurídica, foi simplesmente apresentado "contrato de adesão", que no intuito do consumidor, representava um financiamento, sem qualquer explicação sobre juros e forma de cálculo do mesmo. Diligente com suas obrigações, contudo, o autor foi percebendo um excessivo valor nas parcelas a serem pagas mensalmente, totalmente incompatíveis com o valor que foi emprestado. Por diversas vezes o autor procurou o ban co requerido, recebendo como resposta que: "se o contrato estava assinado, deveria assim ser cumprido." Diante de qualquer atraso, encargos altíssimos vinham a incidir sobre as parcelas, dificultando o adimplemento do contrato. Apenas neste momento, o autor tomou conhecimento de ilegalidades plasmadas no negócio, que proporcionavam um excesso na cobrança do empréstimo. Sob os auspícios do princípio do pacta sunt servanda pretende a requerida desconsiderar a norma constitucional e a legislação infra-constitucional impelindo o consumidor à busca de seus direitos perante o poder judiciário. DO DIREITO 1. A relação de consumo e aplicabilidade do Código de Defesa do Consumidor. O Código de Defesa do Consumidor promoveu uma radical mudança de enfoque para as relações contratuais nas quais uma Empresa fornece serviços e um particular os aufere como destinatário final. Tamanha foi a transformação no direito dos contratos e no direito das obrigações em geral que novos paradigmas de "relação jurídica" foram criados, chamando para si outras garantias conferidas pelo Estado, que não aquelas vazadas no Código de Beviláqua. O que temos no caso sub iudice, conforme os elementos internos da relação travada entre o Sr. .... e a empresa ...., confrontados com o disposto nos artigos 1º, 2º e 3º do Código de Defesa do Consumidor, é uma Relação de Consumo. Isto porque, analisando o papel social juridicamente relevante do autor, percebemos que este é consumidor final do objeto de prestação de serviços do banco: a prestação de crédito; por outro lado, analisando o papel social juridicamente relevante do banco requerido, chegamos à conclusão de que este fornece diversos serviços de crédito e gestão patrimonial, como no caso em tela. Doutrina e jurisprudência demonstram entendimento uníssono: "A CARACTERIZAÇÃO DO BANCO OU INSTITUIÇÃO FINANCEIRA COMO FORNECEDOR ESTÁ POSITIVADA NO ART. 3º, CAPUT DO CDC E ESPECIALMENTE DO § 2º DO REFERIDO ARTIGO, O QUAL MENCIONA EXPRESSAMENTE COMO SERVIÇOS AS ATIVIDADES DE NATUREZA BANCÁRIA, FINANCEIRA, DE CRÉDITO." (MARQUES, Cláudia Lima. Contratos no código de defesa do consumidor. 3ª ed. São Paulo: Saraiva, 1999, p. 198) O MM. Juiz de direito da 3ª Vara Cível, Dr. Fernando Antonio Prazeres é enfático ao propugnar a aplicabilidade do Código de Defesa do Consumidor: "NÃO TENHO A MENOR DÚVIDA NO QUE DIZ RESPEITO À APLICAÇÃO DO CÓDIGO DE DEFESA DO CONSUMIDOR AOS CONTRATOS BANCÁRIOS. POSIÇÕES EM CONTRÁRIO EXISTEM, É CLARO, E A RESPEITO, POR ÓBVIO. CONTUDO, NÃO PASSAM DE MERO EXERCÍCIO DE RETÓRICA, SIMPLES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2026-10-26T05:57:46.737Z</dcterms:created>
  <dcterms:modified xsi:type="dcterms:W3CDTF">2026-10-26T05:57:46.737Z</dcterms:modified>
</cp:coreProperties>
</file>

<file path=docProps/custom.xml><?xml version="1.0" encoding="utf-8"?>
<Properties xmlns="http://schemas.openxmlformats.org/officeDocument/2006/custom-properties" xmlns:vt="http://schemas.openxmlformats.org/officeDocument/2006/docPropsVTypes"/>
</file>