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r>
        <w:rPr>
          <w:b/>
          <w:bCs/>
        </w:rPr>
        <w:t xml:space="preserve">Recurso: </w:t>
      </w:r>
      <w:r>
        <w:t xml:space="preserve">agravo de instrumento .</w:t>
      </w:r>
    </w:p>
    <w:p>
      <w:r>
        <w:rPr>
          <w:b/>
          <w:bCs/>
        </w:rPr>
        <w:t xml:space="preserve">Tribunal: </w:t>
      </w:r>
      <w:r>
        <w:t xml:space="preserve">STJ</w:t>
      </w:r>
    </w:p>
    <w:p/>
    <w:p>
      <w:r>
        <w:t xml:space="preserve">MANIFESTAÇÃO ACERCA DE PEDIDO FEITO PELA PARTE CONTRÁRIA</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contende com ...., à presença de Vossa Excelência propor e requerer o que segue. O Requerente afirma que já teria pago todas as prestações do contrato de arrendamento mercantil que firmou com a Requerida e que, inobstante isso, esta última estaria lhe negando o documento hábil para baixa de restrição junto ao ......... Com base nessas alegações, pede que seja "oficiado ao .......... para que proceda à baixa da restrição (arrendamento), no veículo ..., placas ...." Para formular tal pedido, o Requerente invoca os autos .........../..........., afirmando que esse "processo foi julgado procedente em 1º e 2º graus, tendo as rés adentrado com Recurso Especial, o que não foi deferido o efeito suspensivo." Esses autos de n.º ......../......., referem-se à ação civil pública proposta pela ............ e pela ......., com o objetivo de obter a revisão dos contratos de arrendamento mercantil vinculados ao dólar, em que se pleiteou provimento liminar no sentido de se substituir o dólar pela variação do INPC. A despeito de os autos da ação civil pública tramitarem nesse D. Juízo, é oportuno que se faça um breve retrospecto da lide, a fim de demonstrar sua fase atual. Em ........../........./.........., foi parcialmente deferida a antecipação de tutela requerida nos autos ............./............., autorizando-se o depósito judicial das parcelas dos contratos de leasing em Juízo, a partir de ......../............, de acordo com a variação do INPC. A essa liminar, aderiu o Requerente. Irresignadas com tal decisão, as Sociedades Arrendantes - entre as quais, a Requerida - interpuseram recursos de agravo de instrumento. Entretanto, o Egrégio Tribunal de Alçada do ........... negou provimento aos recursos. Contra o v. Acórdão que julgou esses agravos de instrumento, foram interpostos embargos de declaração e, posteriormente, Recurso Especial. Em seguida, foi interposto agravo de instrumento endereçado ao Superior Tribunal de Justiça, em que se requereu que o Recurso Especial não ficasse retido nos autos. A ação civil coletiva, por sua vez, seguiu seu curso, tendo as Sociedades Arrendantes apresentado suas contestações. Entendendo ser a matéria versada nos autos exclusivamente de direito, o Magistrado "a quo" julgou antecipadamente a lide, confirmando a liminar concedida. Por meio do Acórdão n.º ........, a ......... Turma do Tribunal de Alçada do Estado do ......... negou provimento à Apelação interposta pelas Sociedades Arrendantes. Com o intuito de ver refletido nesse Acórdão o prequestionamento de toda a matéria federal levada à apreciação do Tribunal "E2a quo" e buscando afastar a contradição existente, as empresas de leasing interpuseram Embargos de Declaração, os quais foram rejeitados. Tendo em vista que o v. Acórdão proferido pelo Egrégio Tribunal de Alçada do ........ é nulo e ilícito, as Sociedades Arrendantes interpuseram Recurso Especial e Recurso Extraordinário, aos quais foi negado seguimento. Demonstrando estarem presentes todos os requisitos de admissibilidade daqueles recursos, as empresas de leasing interpuseram recursos de Agravo de Instrumento ao Superior Tribunal de Justiça e ao Supremo Tribunal Federal. Esses agravos aguardam julgamento, conforme se vê dos documentos e certidões cujas cópias estão em anexo. Concomitantemente à interposição dos Recursos Especial e Extraordinár io, as Sociedades Arrendantes intentaram Medida Cautelar junto ao Superior Tribunal de Justiça, através da qual foi concedido, liminarmente, efeito suspensivo ao Recurso Especial. Evitou-se, assim, que, com base na decisão do Tribunal local - que é nula e ilícita - os arrendatários pudessem exigir o documento de quitação do contrato de arrendamento mercantil e, conseqüentemente, pudessem requerer a transferência de propriedade dos veículos arrendados. Essa liminar está sendo mantida. Dessa breve retrospectiva depreende-se que, tendo sido concedido efeito suspensivo ao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2026-10-26T02:37:17.978Z</dcterms:created>
  <dcterms:modified xsi:type="dcterms:W3CDTF">2026-10-26T02:37:17.978Z</dcterms:modified>
</cp:coreProperties>
</file>

<file path=docProps/custom.xml><?xml version="1.0" encoding="utf-8"?>
<Properties xmlns="http://schemas.openxmlformats.org/officeDocument/2006/custom-properties" xmlns:vt="http://schemas.openxmlformats.org/officeDocument/2006/docPropsVTypes"/>
</file>