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r>
        <w:rPr>
          <w:b/>
          <w:bCs/>
        </w:rPr>
        <w:t xml:space="preserve">Recurso: </w:t>
      </w:r>
      <w:r>
        <w:t xml:space="preserve">Mandado de Segurança -</w:t>
      </w:r>
    </w:p>
    <w:p>
      <w:r>
        <w:rPr>
          <w:b/>
          <w:bCs/>
        </w:rPr>
        <w:t xml:space="preserve">Tribunal: </w:t>
      </w:r>
      <w:r>
        <w:t xml:space="preserve">STJ</w:t>
      </w:r>
    </w:p>
    <w:p/>
    <w:p>
      <w:r>
        <w:t xml:space="preserve">APELAÇÃO EM MANDADO DE SEGURANÇA — CORTE DE ENERGIA ELÉTRICA POR SUSPENSÃO DE MEDIDA LIMINAR</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Da r. sentença de fls ....., nos termos que seguem. Requerendo, para tanto, que o recurso seja recebido no duplo efeito, determinando-se a sua remessa ao Egrégio Tribunal de Justiça do estado de ...., para que dela conheça e profira nova decisão. Junta comprovação de pagamento de custas recursais. Nesses Termos, Pede Deferimento. [Local], [dia] de [mês] de [ano]. [Assinatura do Advogado] [Número de Inscrição na OAB] EGRÉGIO TRIBUNAL DE JUSTIÇA DO ESTADO DO .... ORIGEM: Autos sob n.º .... - ....ª Vara Cível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pelos motivos de fato e de direito a seguir aduzidos. RAZÕES DE APELAÇÃO Colenda Corte Eméritos julgadores DOS FATOS A Dr a. Juíza "a quo" equivocadamente, ao sentenciar o feito, denegou a segurança ordem, revogando, assim, a liminar concedida inicialmente, supondo que "no conflito de interesses individuais e coletivos, o boa exegese determina que se dê prioridade ao interesse público, embora os direitos sejam da mesma grandeza, prevalece sempre o segundo"; "Em segundo lugar a justiça da prestação pecuniária em contrapartida ao serviço prestado, e a injustiça do inadimplente perante uma comunidade inteira de adimplentes, fazendo com que esses corram o risco de perder o serviço ouvir a te-lo sem a mesma qualidade, face a diminuição na captação do dinheiro"; Por último "a qualidade do serviço está ligado ao fato da empresa concessionária oferecer diuturnamente e sem interrupção, energização a toda uma universilidade de cidadãos, os quais, em contrapartida, devem efetuar o pagamento dos KWh, consumidos. A legislação que prevê o corte de energia elétrica diz que o consumidor deve ser comunicado previamente do corte, e, razão do inadimplemento, fato ocorrido e demonstrado documentalmente nos presentes autos" (fls. 07). Mas não é assim. Trata-se de ferimento a direito líquido e certo da apelante. O abusivo e ilegal corte no fornecimento de água decorreu de momentânea impossibilidade financeira, privando o apelante e seus familiares de serviço essencial à vida, e o direito à vida estarantido na Constituição da República. A sentença merece reforma, como se verá a seguir. A Dra. Juíza "a quo" via corretamente o tema: "Vinha, até então, deferindo pedido de liminares em remédio heróico, no sentido de determinar a religação de luz e água nas residências de usuários inodimplentes, e como fundamento, entendia que o serviço não poderia ser interrompido por ser essencial e de prestação contínua, como determina o CDC." Só pode ser assim: trata-se de serviço essencial e prestação contínua, não havendo possibilidade de interrupção por falta de pagamento. Ora, não há dúvida quanto ao fato de o interesse público prevalecer em detrimento do interesse individual. Não se pode, entretanto, extinguir o direito à prestação de um serviço essencial, como o fornecimento de água sob a tese da prevalência do interesse da coletividade. É, portanto, um direito do consumidor receber os serviços públicos essenciais. O Estado deve produzir tais serviços porque a lei assim determina. O serviço de luz é essencial e indispensável à própria manutenção da vida digna, não sendo possível prescindir dela. O fundamento da "justiça da prestação pecuniária em contrapartida ao serviço prestado, e a injus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2026-10-26T04:37:22.612Z</dcterms:created>
  <dcterms:modified xsi:type="dcterms:W3CDTF">2026-10-26T04:37:22.612Z</dcterms:modified>
</cp:coreProperties>
</file>

<file path=docProps/custom.xml><?xml version="1.0" encoding="utf-8"?>
<Properties xmlns="http://schemas.openxmlformats.org/officeDocument/2006/custom-properties" xmlns:vt="http://schemas.openxmlformats.org/officeDocument/2006/docPropsVTypes"/>
</file>