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Agravo de Instrumento .....</w:t>
      </w:r>
    </w:p>
    <w:p>
      <w:r>
        <w:rPr>
          <w:b/>
          <w:bCs/>
        </w:rPr>
        <w:t xml:space="preserve">Tribunal: </w:t>
      </w:r>
      <w:r>
        <w:t xml:space="preserve">STF</w:t>
      </w:r>
    </w:p>
    <w:p/>
    <w:p>
      <w:r>
        <w:t xml:space="preserve">EMBARGOS DE DECLARAÇÃO PARA FINS DE PRÉ-QUESTIONAMENTO</w:t>
      </w:r>
    </w:p>
    <w:p/>
    <w:p>
      <w:pPr>
        <w:pStyle w:val="Heading2"/>
      </w:pPr>
      <w:r>
        <w:rPr>
          <w:b/>
          <w:bCs/>
        </w:rPr>
        <w:t xml:space="preserve">Ementa</w:t>
      </w:r>
    </w:p>
    <w:p>
      <w:r>
        <w:t xml:space="preserve">EXCELENTÍSSIMO SENHOR DESEMBARGADOR PRESIDENTE DO EGRÉGIO TRIBUNAL DE JUSTIÇA DO .... Agravo de Instrumento nº ..... Agravante: ...................... Agravado :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EMBARGOS DE DECLARAÇÃO ao v. acórdão de nº ........, prolatado por esta Douta Câmara Cível no recurso de Agravo de Instrumento supra enumerado, com desiderato de PREQUESTIONAMENTO DA LEGISLAÇÃO INFRA E INTRA CONSTITUCIONAL INAPLICADA, aonde é agravado ............, instituição financeira ali identificada, por entender merecedor de reparos o r. decidere, fazendo-o nos exatos termos permitidos pelo Direito, esperando, ao final, ver providas suas pretensões. PRELIMINARMENTE 2. DA TEMPESTIVIDADE. Cumpre informar que a prolação do acórdão alvo deste procedimento, ocorreu na data de 05/06/2.000, uma segunda- feira. O início da contagem do prazo para a oposição dos embargos ocorreu no primeiro dia útil subseqüente, tal seja, aos 06/06/2.000 (terça-feira), expirando-se, portanto, na data de 10 de Junho (sábado), prorrogando-se o vencimento ao primeiro dia útil subseqüente, tal seja, 12/06/2.000 (segunda-feira), e sendo assim, os referidos embargos são tempestivos. DO MÉRITO DOS FATOS A embargante distribuiu perante o Douto Juízo de Direito da Vara Cível da Comarca de ....................., procedimento ordinário de claratório, visando a declaração de extinção e quitação das contratações de saldo devedor em conta-corrente nº ....................., conferindo ao feito o valor de R$ ................. Restou demonstrada a existência de sucessividade contratual, a imposição de alta taxa de juros e ainda, a desobediência aos preceitos trazidos pelo Código de Defesa do Consumidor. Diante disso, a embargante contratou serviço técnico especializado o qual demonstrou que se utilizando índices legalmente aceitos, a mesma seria credora da instituição financeira, pela importância de R$ ................ Também restou demonstrada a inobservância aos dispositivos do Código de Defesa do Consumidor e a sucessividade de operações, fatos estes que motivaram o ingresso do acionamento declaratório. O embargado compareceu ao feito, alegando a vigência pacta sunt servanda, acreditando que todas as cláusulas abusivas deveriam ser cumpridas e que o Código de Defesa do Consumidor não poderia restar aplicado ao caso aqui em análise, por tratar-se de operação bancária. Impugnando tais alegações, o embargante compareceu mais uma vez ao feito, cimentando as alegações trazidas à exordial, cabendo ressaltar que o embargado não impugnou os cálculos trazidos ao feito revisional, incorrendo em confissão ficta. A embargante pugnou pela efetivação de prova pericial, a fim de demonstrar a onerosidade da contratação e corroborar as razões alocadas no procedimento, sendo que, na audiência conciliatória, restou determinado o julgamento antecipado da lide, indeferindo a prova pericial, mesmo que tacitamente, decisão esta que foi alvo de recurso de agravo de instrumento. Sendo o embargante consumidor, e portanto, sujeito às disposições cogentes da Lei 8.078/90, pertinente seu pedido de revisão contratual, aliado a todo o embasamento legal e jurisprudencial alocado à inicial declaratória. Tal agravo de instrumento não restou conhecido por esta Colenda Câmara Cível, por entender que, a ma téria ali aventada havia sido objeto de recurso de agravo retido, este interposto oralmente em audiência, violando o princípio da unirrecorribilidade. Desta forma, visando prequestionar a legislação inaplicada, a fim de possibilitar a interposição de recursos especial e extraordinário ao Superior Tribunal de Justiça e Supremo Tribunal Federal, são opostos os presentes Embargos de Declaração, com a única finalidade de prequestionamento, motivo pelo qual, não podem os mesmos ser tidos como protelatórios. Tais fatos motivam os presentes Embargos de Declaração. DO DIREITO A interp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2026-10-26T03:24:06.915Z</dcterms:created>
  <dcterms:modified xsi:type="dcterms:W3CDTF">2026-10-26T03:24:06.915Z</dcterms:modified>
</cp:coreProperties>
</file>

<file path=docProps/custom.xml><?xml version="1.0" encoding="utf-8"?>
<Properties xmlns="http://schemas.openxmlformats.org/officeDocument/2006/custom-properties" xmlns:vt="http://schemas.openxmlformats.org/officeDocument/2006/docPropsVTypes"/>
</file>