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Agravo de Instrumento .....</w:t>
      </w:r>
    </w:p>
    <w:p>
      <w:r>
        <w:rPr>
          <w:b/>
          <w:bCs/>
        </w:rPr>
        <w:t xml:space="preserve">Tribunal: </w:t>
      </w:r>
      <w:r>
        <w:t xml:space="preserve">STF</w:t>
      </w:r>
    </w:p>
    <w:p/>
    <w:p>
      <w:r>
        <w:t xml:space="preserve">EMBARGOS DE DECLARAÇÃO PARA FINS DE PRÉ-QUESTIONAMENTO</w:t>
      </w:r>
    </w:p>
    <w:p/>
    <w:p>
      <w:pPr>
        <w:pStyle w:val="Heading2"/>
      </w:pPr>
      <w:r>
        <w:rPr>
          <w:b/>
          <w:bCs/>
        </w:rPr>
        <w:t xml:space="preserve">Ementa</w:t>
      </w:r>
    </w:p>
    <w:p>
      <w:r>
        <w:t xml:space="preserve">EXCELENTÍSSIMO SENHOR DESEMBARGADOR PRESIDENTE DO EGRÉGIO TRIBUNAL DE JUSTIÇA DO .... Agravo de Instrumento nº ..... Agravante: ...................... Agravado :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EMBARGOS DE DECLARAÇÃO ao v. acórdão de nº ........, prolatado por esta Douta Câmara Cível no recurso de Agravo de Instrumento supra enumerado, com desiderato de PREQUESTIONAMENTO DA LEGISLAÇÃO INFRA E INTRA CONSTITUCIONAL INAPLICADA, aonde é agravado ............, instituição financeira ali identificada, por entender merecedor de reparos o r. decidere, fazendo-o nos exatos termos permitidos pelo Direito, esperando, ao final, ver providas suas pretensões. PRELIMINARMENTE 2. DA TEMPESTIVIDADE. Cumpre informar que a prolação do acórdão alvo deste procedimento, ocorreu na data de 05/06/2.000, uma segunda- feira. O início da contagem do prazo para a oposição dos embargos ocorreu no primeiro dia útil subseqüente, tal seja, aos 06/06/2.000 (terça-feira), expirando-se, portanto, na data de 10 de Junho (sábado), prorrogando-se o vencimento ao primeiro dia útil subseqüente, tal seja, 12/06/2.000 (segunda-feira), e sendo assim, os referidos embargos são tempestivos. DO MÉRITO DOS FATOS A embargante distribuiu perante o Douto Juízo de Direito da Vara Cível da Comarca de ....................., procedimento ordinário de claratório, visando a declaração de extinção e quitação das contratações de saldo devedor em conta-corrente nº ....................., conferindo ao feito o valor de R$ ................. Restou demonstrada a existência de sucessividade contratual, a imposição de alta taxa de juros e ainda, a desobediência aos preceitos trazidos pelo Código de Defesa do Consumidor. Diante disso, a embargante contratou serviço técnico especializado o qual demonstrou que se utilizando índices legalmente aceitos, a mesma seria credora da instituição financeira, pela importância de R$ ................ Também restou demonstrada a inobservância aos dispositivos do Código de Defesa do Consumidor e a sucessividade de operações, fatos estes que motivaram o ingresso do acionamento declaratório. O embargado compareceu ao feito, alegando a vigência pacta sunt servanda, acreditando que todas as cláusulas abusivas deveriam ser cumpridas e que o Código de Defesa do Consumidor não poderia restar aplicado ao caso aqui em análise, por tratar-se de operação bancária. Impugnando tais alegações, o embargante compareceu mais uma vez ao feito, cimentando as alegações trazidas à exordial, cabendo ressaltar que o embargado não impugnou os cálculos trazidos ao feito revisional, incorrendo em confissão ficta. A embargante pugnou pela efetivação de prova pericial, a fim de demonstrar a onerosidade da contratação e corroborar as razões alocadas no procedimento, sendo que, na audiência conciliatória, restou determinado o julgamento antecipado da lide, indeferindo a prova pericial, mesmo que tacitamente, decisão esta que foi alvo de recurso de agravo de instrumento. Sendo o embargante consumidor, e portanto, sujeito às disposições cogentes da Lei 8.078/90, pertinente seu pedido de revisão contratual, aliado a todo o embasamento legal e jurisprudencial alocado à inicial declaratória. Tal agravo de instrumento não restou conhecido por esta Colenda Câmara Cível, por entender que, a ma téria ali aventada havia sido objeto de recurso de agravo retido, este interposto oralmente em audiência, violando o princípio da unirrecorribilidade. Desta forma, visando prequestionar a legislação inaplicada, a fim de possibilitar a interposição de recursos especial e extraordinário ao Superior Tribunal de Justiça e Supremo Tribunal Federal, são opostos os presentes Embargos de Declaração, com a única finalidade de prequestionamento, motivo pelo qual, não podem os mesmos ser tidos como protelatórios. Tais fatos motivam os presentes Embargos de Declaração. DO DIREITO A interp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2026-07-28T02:54:11.268Z</dcterms:created>
  <dcterms:modified xsi:type="dcterms:W3CDTF">2026-07-28T02:54:11.268Z</dcterms:modified>
</cp:coreProperties>
</file>

<file path=docProps/custom.xml><?xml version="1.0" encoding="utf-8"?>
<Properties xmlns="http://schemas.openxmlformats.org/officeDocument/2006/custom-properties" xmlns:vt="http://schemas.openxmlformats.org/officeDocument/2006/docPropsVTypes"/>
</file>