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INDENIZAÇÃO POR DANO MORAL</w:t>
      </w:r>
    </w:p>
    <w:p/>
    <w:p>
      <w:r>
        <w:rPr>
          <w:b/>
          <w:bCs/>
        </w:rPr>
        <w:t xml:space="preserve">Recurso: </w:t>
      </w:r>
      <w:r>
        <w:t xml:space="preserve">Ap .</w:t>
      </w:r>
    </w:p>
    <w:p>
      <w:r>
        <w:rPr>
          <w:b/>
          <w:bCs/>
        </w:rPr>
        <w:t xml:space="preserve">Tribunal: </w:t>
      </w:r>
      <w:r>
        <w:t xml:space="preserve">TJRS</w:t>
      </w:r>
    </w:p>
    <w:p/>
    <w:p>
      <w:r>
        <w:t xml:space="preserve">INDENIZAÇÃO POR DANOS MORAIS — INSCRIÇÃO INDEVIDA DO NOME DE CONSUMIDOR EM CADASTRO DE INADIMPLENTES</w:t>
      </w:r>
    </w:p>
    <w:p/>
    <w:p>
      <w:pPr>
        <w:pStyle w:val="Heading2"/>
      </w:pPr>
      <w:r>
        <w:rPr>
          <w:b/>
          <w:bCs/>
        </w:rPr>
        <w:t xml:space="preserve">Ementa</w:t>
      </w:r>
    </w:p>
    <w:p>
      <w:r>
        <w:t xml:space="preserve">EXMO. SR. DR. JUIZ DE DIREITO DO JUIZADO ESPECIAL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INDENIZAÇÃO POR DANOS MORAIS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DA COMPETÊNCIA Cumpre desde logo demonstrar a competência desta Unidade dos Juizados Especiais de ............. para conhecer e julgar a presente causa, uma vez que, primeiro, residindo a autora em área sob jurisdição desta Unidade e, segundo, tratando-se de demanda indenizatória, assim dispõe o art. 4º, III, da Lei nº 9.099/95 para tais circunstâncias. DO MÉRITO DOS FATOS Em meados de ........., a promovente resolveu adquirir um som toca-discos à laser nas Lojas Americanas, optando por pagar o bem a prazo, através de financiamento junto ao banco promovido em 10 parcelas de R$ ....................., sucessivas e mensais. Todas as parcelas foram pagas, algumas até antes do vencimento (vide comprovantes autenticados em anexo). Não obstante, a promovente passou a receber mensagens de cobrança via correio (vide correspondências em anexo), relativas à última parcela, cujo vencimen to se deu em ............... e que inclusive fora paga antes desta data, culminando no lançamento de seu nome em serviço de proteção ao crédito da cidade de ............., efetivado pela segunda promovida. A promovente é comerciante que se vale do bom nome na praça para exercer suas atividades, de modo que só a inscrição injusta já lhe afetou negativamente os negócios. Após a última correspondência, onde constava aviso de desconsideração no caso de pagamento, a promovente, dirigindo-se ao Serviço de Proteção ao Crédito na cidade de ............., constatou a indevida inscrição, obtendo declaração nesse sentido do SPC em .................. (ver documento em anexo). Em virtude do abuso de direito e da cobrança indevida de valores, resultando em danos à dignidade e ao crédito da autora, resta-lhe tão somente recorrer ao Judiciário para obter a devida reparação. DO DIREITO Não cabem maiores considerações sobre o direito da autora. Provados os fatos, o direito tornar-se-á certo, qual seja, obter indenização por danos morais resultantes da injustificável conduta dos promovidos. A regra matriz da reparação civil, pela qual todo aquele que causa dano a outrem fica obrigado a repará-lo - corolário do neminem laedere latino -, encontra-se no art.186, do Novo Código Civil. Conferindo à reparação de danos contra o patrimônio, intimidade e honra hierarquia normativa superior, a Constituição em seu art. 5º, incisos V e X, elenca-os como garantias e direitos individuais, oponíveis de imediato contra quem os tenha violado, tal como no presente caso. Sob outro aspecto, verifica-se a particular relação entre as partes, colocando-se de um lado, a promovente, como consumidora, e de outro, o banco, como fornecedor de serviços. Assim delineada a relação de consumo, deve-se observar o estipulado pelo CDC para casos desta espécie, que presume contra o fornecedor a culpa pela falta do serviço prestado. Mesmo que assim não fosse, pelo exame da documentação se comp rovaria de modo cabal a culpa dos promovidos, que de forma negligente deram ensejo ao lançamento do nome da promovente em cadastro do SPC da cidade de .............. Assim, pois, o simples exame desses documentos força a conclusão de que a promovente jamais deveria ter sido interpelada via correspondência, tampouco ter seu nome lançado em rol de devedores. Ali está evidenciado que todas as parcelas foram honradas - todas autenticadas mecanicamente pela rede de compensação -, permitindo se afirmar com segurança que tanto o banco promovido, por desconsiderar o pagamento efetuado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2026-10-26T05:22:44.940Z</dcterms:created>
  <dcterms:modified xsi:type="dcterms:W3CDTF">2026-10-26T05:22:44.940Z</dcterms:modified>
</cp:coreProperties>
</file>

<file path=docProps/custom.xml><?xml version="1.0" encoding="utf-8"?>
<Properties xmlns="http://schemas.openxmlformats.org/officeDocument/2006/custom-properties" xmlns:vt="http://schemas.openxmlformats.org/officeDocument/2006/docPropsVTypes"/>
</file>