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99.830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28/03/1985</w:t>
      </w:r>
    </w:p>
    <w:p/>
    <w:p>
      <w:r>
        <w:t xml:space="preserve">PARCELAS RETIDAS PELO INCRA COM BASE EM LEI INCONSTITUCIONAL — 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este propósito, as decisões do Supremo Tribunal carecem de uniformidade durante algum tempo. - É certo, contudo, que a jurisprudência da Casa veio a tomar rumo definitivo a partir da decisão majoritária do Plenário, nº RE nº 99.830, julgado em 5 de setembro de 1984. - Ficou então assentado que as parcelas do ITR outrora retidas pelo INCRA, e ora restituendas, têm correção monetária somente a contar da vigência da Lei nº 6.899/81, mesmo quando a municipalidade haja requerido a correção na inicial. - Para que prevaleça esse entendimento, provejo o recurso extraordinário. Julgado em 29-03-1985 Revista Trimestral de Jurisprudência. Vol. 118 - Pág. 703 NO MESMO SENTIDO: Rec. Extr. nº 104.812 - DF, STF, 2ª T., Relato: Ministro MOREIRA ALVES, ac. de 05-03-1985, in «EMENTÁRIO FORENSE», Nº 458.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das parcelas do ITR, retidas e devolvidas pelo INCRA, ao Município, incide somente a partir da vigência da Lei nº 6.899/81.(Ementa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2026-07-28T02:25:11.973Z</dcterms:created>
  <dcterms:modified xsi:type="dcterms:W3CDTF">2026-07-28T02:25:11.973Z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