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CADASTRO DE INADIMPLENTES</w:t>
      </w:r>
    </w:p>
    <w:p/>
    <w:p>
      <w:r>
        <w:rPr>
          <w:b/>
          <w:bCs/>
        </w:rPr>
        <w:t xml:space="preserve">Recurso: </w:t>
      </w:r>
      <w:r>
        <w:t xml:space="preserve">RESP 263546/</w:t>
      </w:r>
    </w:p>
    <w:p>
      <w:r>
        <w:rPr>
          <w:b/>
          <w:bCs/>
        </w:rPr>
        <w:t xml:space="preserve">Tribunal: </w:t>
      </w:r>
      <w:r>
        <w:t xml:space="preserve">TJ/PR</w:t>
      </w:r>
    </w:p>
    <w:p/>
    <w:p>
      <w:r>
        <w:t xml:space="preserve">INSCRIÇÃO DO NOME DE CONSUMIDOR EM CADASTRO DE INADIMPLENTES — INDENIZAÇÃO</w:t>
      </w:r>
    </w:p>
    <w:p/>
    <w:p>
      <w:pPr>
        <w:pStyle w:val="Heading2"/>
      </w:pPr>
      <w:r>
        <w:rPr>
          <w:b/>
          <w:bCs/>
        </w:rPr>
        <w:t xml:space="preserve">Ementa</w:t>
      </w:r>
    </w:p>
    <w:p>
      <w:r>
        <w:t xml:space="preserve">EXCELENTÍSSIMO SR. DOUTOR JUIZ DE DIREITO DO JUIZADO ESPECIAL CÍVEL DA COMARCA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RECLAMAÇÃO CÍVEL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as eguir aduzidos. DOS FATOS O autor teve relação comercial com a reclamada e, devido a dificuldades financeiras, não pôde adimplir com suas obrigações. Então tentou diversas vezes negociar sua dívida mas a ré demonstrou-se intransigente face ao problema, não querendo aceitar as propostas do autor e lhe cobrando juros ilegais. Diante disso, a ré levou a dívida do autor ao Cartório de Protesto de Títulos de Araucária e aos registros dos órgãos de proteção ao crédito (SERASA e SCPC), sem ter-lhe comunicado, contrariando, dessa maneira, o disposto no artigo 43 § 20 da Lei 8078/90 (Código de Defesa do Consumidor). DO DIREITO No contrato realizado entre as partes não estava expressamente previsto que o consumidor ficaria responsabilizado por eventuais custas decorrentes de inadimplência. Ocorre que houve uma relação de consumo entre o reclamante e a reclamada, sendo que agora esta vem cobrando daquele juros acima dos legais para compor a dívida e também não quer se responsabilizar pelo pagamento das custas no cartório de protesto. Agora o reclamante não tem como saldar sua dívida face ás altas taxas cobradas para retirar o seu nome do cadastro dos inadimplentes. A esse respeito as decisões são pacíficas em nossos tribunais, como pode-se verificar pelo julgado seguinte: "Embargos de Declaração - Omissões - Inexistência - "Fumus boni luris e Periculum in mora" examinados na sentença mantida em segundo grau - INADMISSIBILIDADE DO REGISTRO NO SPC E NO SERASA - EMBARGOS REJEITADOS - DECISÃO UNANIME - ESTANDO EM DISCUSSÃO O DÉBITO E INADMISSÍVEL QUE A INSTITUIRÃO BANCARIA PROMOVA A INSCRIÇÃO DO DEVEDOR NOS CADASTRO DE INADIMPLENTES DOS SERVIÇOS DE PROTEÇÃO AO CRÉDITO. (TJ/PR - Embargos de Declaração nº. 05481701 - Pinhais - 6a. Cciv - Des. Antonio Lopes de Noronha - Julg. 28/11/2001) São no mesmo sentido as decisões do Superior Tribunal de Justiça, senão vejamos: "Ação Cautelar - Dívida em Juízo - Cadastro de Inadimplentes - SERASA - SPC - Inscrição - Inadequação - Precedentes do Tribuna Recurso Acolhido. Nos termos da jurisprudência desta Corte, enquanto a dívida em Juízo, inadequada em princípio a inscrição do devedor nos órgãos de crédito." (STJ - RESP 263546/SC - DJ: 16/10/2000 - PG. 0318 - Min. Sálvio de Figueiredo Teixeira - 4a. Turma) DOS PEDIDOS Diante do fato de ver seu nome vinculado ao rol dos maus pagadores, e estando esgotadas as formas de um justo acordo extrajudicial, o reclamante vêm buscar a tutela jurisdicional, a fim de ver seu direito garantido, buscando um acerto geral de contas. Para tanto, requer que Vossa Excelência: 1) que se digne a obrigar a apresentação, pelo reclamado, dos documentos referentes à relação comercial em análise, contrato, recibos de pagamento e cálculos dos valores atribuídos à dívida, com fulcro nos Arts. 355 e seguintes CPC. 2) que desde já o nobre juiz oficie os órgãos de proteção ao crédito no sentido de baixarem temporariamente a indicação mencionada, uma vez que o autor não pode ficar com seu nome sujo indevidamente, até o julgamento final do mérito da presente ação, sob pena de prejuízo imediato à imagem e restrição de crédito perante o comércio. (Fummus boni iuris e Perículum in mora). 3) que seja julgada procedente a presente ação, no sentido de determinar-se a exata proporção do que é supostamente devido pelo Reclamante; 4) Para tanto, sob o manto do Art. 6°, VIII, do CDC, requer-se a inversão do ônus da prova, e, conseqüentemente, a intimação da reclamada para apresentar planilha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2026-10-26T03:25:52.887Z</dcterms:created>
  <dcterms:modified xsi:type="dcterms:W3CDTF">2026-10-26T03:25:52.887Z</dcterms:modified>
</cp:coreProperties>
</file>

<file path=docProps/custom.xml><?xml version="1.0" encoding="utf-8"?>
<Properties xmlns="http://schemas.openxmlformats.org/officeDocument/2006/custom-properties" xmlns:vt="http://schemas.openxmlformats.org/officeDocument/2006/docPropsVTypes"/>
</file>