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99.830</w:t>
      </w:r>
    </w:p>
    <w:p>
      <w:r>
        <w:rPr>
          <w:b/>
          <w:bCs/>
        </w:rPr>
        <w:t xml:space="preserve">Julgado em: </w:t>
      </w:r>
      <w:r>
        <w:t xml:space="preserve">04/03/1981</w:t>
      </w:r>
    </w:p>
    <w:p/>
    <w:p>
      <w:r>
        <w:t xml:space="preserve">PARCELAS RETIDAS PELO INCRA COM BASE EM LEI INCONSTITUCIONAL — A PARTIR DE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pelo dissídio de jurisprudência e lhe dou provimento, tendo em vista que esta Corte, por seu plenário, ao julgar os ERE 99.830 decidiu, por maioria de votos, que, em qualquer caso, a correção monetária das retenções feitas pelo INCRA da parcela do produto arrecadado pelo Imposto Territorial Rural com base em Lei que posteriormente foi declarada inconstitucional só é devida a partir da entrada em vigor da Lei nº 6.899/81. Julgado em 05-03-1981 Revista Trimestral de Jurisprudência. Vol. 114 - Pág. 1.206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correção monetária das retenções feitas pelo INCRA da parcela do produto arrecadado do imposto territorial rural com base em lei que posteriormente foi declarada inconstitucional só é devida a partir da entrada em vigor da Lei nº 6.899/81.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2026-07-28T00:28:35.417Z</dcterms:created>
  <dcterms:modified xsi:type="dcterms:W3CDTF">2026-07-28T00:28:35.417Z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