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Apelação .</w:t>
      </w:r>
    </w:p>
    <w:p>
      <w:r>
        <w:rPr>
          <w:b/>
          <w:bCs/>
        </w:rPr>
        <w:t xml:space="preserve">Tribunal: </w:t>
      </w:r>
      <w:r>
        <w:t xml:space="preserve">TJ/RS</w:t>
      </w:r>
    </w:p>
    <w:p/>
    <w:p>
      <w:r>
        <w:t xml:space="preserve">CONTRA-RAZÕES DE APELAÇÃO, EM QUE SE REITERA A PRÁTICA DE ANATOCISMO POR PARTE DE BANCO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de fato e de direito a seguir aduzidos. CONTRA-RAZÕES Colenda Corte Eméritos julgadores DOS FATOS Irresignada com a sentença que decidiu pela inaplicabilidade dos juros acima do patamar de 12% (doze por cento), da Taxa Referencial - TR e da capitalização dos juros (ana tocismo), o Banco ...... interpôs Recurso de Apelação. No que tange à aplicação dos juros, aduziu que inocorreu ofensa ao Código de Defesa do Consumidor (art. 51, IV), tendo em vista que a aplicação dos juros no patamar de 12% (doze por cento) é condicionada a uma lei regulamentadora que ainda não existe. Portanto, não seria abusiva cláusula contratual que prescrevesse juros acima do patamar mencionado. Com referência a não auto-aplicabilidade do dispositivo constitucional, transcreveu arestos do Tribunal de Alçada local, do Supremo Tribunal Federal e do Superior Tribunal de Justiça. Finalmente, alegou que só a partir do vencimento da obrigação (.../.../...) que o Apelante atualizou a dívida com a variação da Taxa Referencial - TR, mais juros de mora de 1% (fls. ...). E mais, que a aplicação da TR como indexador é plenamente aceita, transcrevendo jurisprudência com o mesmo entendimento. DO DIREITO 1. Da auto-aplicabilidade do art. 192, §3º - Constituição Federal. Em rápida análise, verifica-se que o arrazoado contra a auto-aplicabilidade do art. 192, §3º - CF, resumiu-se apenas nas transcrições dos arestos insculpidos no apelo. Tais arestos fundamentam-se na entendimento de que o dispositivo constitucional não possui eficácia plena e aplicação imediata, mas sim contida. Portanto, impositiva seria sua regulamentação por meio de lei complementar. 2. Da mens legis da norma constitucional. Contudo, com a devida venia, tal entendimento não pode ser aplicado enquanto o ordenamento jurídico consagrar o Estado Democrático de Direito e o princípio da igualdade. Tais preceitos legitimam o interesse do povo na elaboração e cumprimento da lei, in verbis: Art. 1º. Parágrafo único. Todo o poder emana do povo, que o exerce por meio de representantes eleitos ou diretamente, nos termos desta Constituição. Assim sendo, o destinatário da norma constitucional é a coletividade. Portanto, a aplicação do §3º do art. 192 da Constitui ção Federal deve ser interpretada neste contexto. Assim sendo, o dispositivo deve ser interpretado em favor de seu principal interessado, como bem assevera a festejada juíza do Tribunal de Alçada, Dra. Regina de Afonso Portes, em lúcido entendimento: "Com efeito, relativamente à interpretação da norma constitucional, deve-se, a meu ver, levar em conta a efetiva vontade de reconhecer e construir, objeto maior do Direito. (...) Daí, em se tratando de interpretação de regras jurídicas constitucionais, válido a meu ver, o entendimento no sentido de que se deve ter em conta sempre, qual o interesse que o texto tem por fim protege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2026-07-28T00:26:37.728Z</dcterms:created>
  <dcterms:modified xsi:type="dcterms:W3CDTF">2026-07-28T00:26:37.728Z</dcterms:modified>
</cp:coreProperties>
</file>

<file path=docProps/custom.xml><?xml version="1.0" encoding="utf-8"?>
<Properties xmlns="http://schemas.openxmlformats.org/officeDocument/2006/custom-properties" xmlns:vt="http://schemas.openxmlformats.org/officeDocument/2006/docPropsVTypes"/>
</file>