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Apelação Cível 0114834-7</w:t>
      </w:r>
    </w:p>
    <w:p>
      <w:r>
        <w:rPr>
          <w:b/>
          <w:bCs/>
        </w:rPr>
        <w:t xml:space="preserve">Tribunal: </w:t>
      </w:r>
      <w:r>
        <w:t xml:space="preserve">STJ</w:t>
      </w:r>
    </w:p>
    <w:p/>
    <w:p>
      <w:r>
        <w:t xml:space="preserve">APELAÇÃO — IMPROCEDÊNCIA DOS EMBARGOS À EXECUÇÃO - PRÁTICA DE ANATOCISMO POR INSTITUIÇÃO BANCÁRIA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PRELIMINARMENTE Da inexistência de título executivo nos autos. Não há revestimento de título executivo in casu, tendo em vista que o instrumento de contrato apresentado não representa, com a necessária exatidão, promessa de pagar quantia determinada, não se revestindo das qualidades essenciais, quais sejam, liquidez, certeza e exigibilidade. Aliás, tal assertiva é demonstrada pelo próprio recorrido que alega ser credor dos recorrentes da importância líquida de R$ ............ conforme unilateral demonstrativo de cálculo. Inclusive, se confrontada ainda a malsinada nota promissória e contrato apresentado como títulos executivos, nos quais os valores apontados totalizam ............. sendo, ainda, o crédito à época do contrato no valor de R$ .........., dar-se-á por encerrada qualquer afirmação de valor "liquido e certo". Denota-se cabalmente que a própria recorrida afetou a possibilidade de execução do contrato em questão ao apontar valores tão desconexos entre si - nota promissória, escritura pública, demonstrativo de débito, abertura de crédito. Evidentemente não há como admitir presunção de veracidade ao alegado pelo recorrido e de alguns documentos colacionados aos autos de execução, tendo em vista tratar-se de uma elaboração unilateral, o que afeta flagrantemente a liquidez e a certeza do título. A modalidade de contrato de abertura de crédito é bastante usual nos dias de hoje, pode ser descrita da seguinte forma: "Utilizado o valor e vencido o prazo do contrato deve o creditado reembolsar o creditador, pagando-lhe o principal e os acessórios contratados; e muito embora seja bilateral, preenchidos os requisitos do artigo 585, II, do CPC, tem ele em princípio eficácia executiva, residindo a dificuldade em aceitá-lo como título executivo, no entanto, em dois pontos: a) na prova do adimplemento da obrigação, qual seja: de colocar os valores à disposição do creditado; b) na determinação da liquidez. Para esses dois objetivos bastam, a priori, os extra tos e o demonstrativo da dívida, desde que um e outro abranjam todo o período de movimentação da conta corrente, documentos suficientes para que o juiz e o devedor possam apurar o cumprimento da obrigação do banco e a evolução da dívida. De fato, se o título executivo deve, abstratamente, pelo seu só exame, revelar a natureza e o objeto da relação jurídica (certeza) e os dados para a determinação do quantum debeatur (liquidez), sem se falar ainda, neste momento, da existência e do conteúdo do direito de crédito, mas somente na eficácia do título executivo, aqueles dois pressupostos podem ser examinados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2026-07-28T00:21:13.163Z</dcterms:created>
  <dcterms:modified xsi:type="dcterms:W3CDTF">2026-07-28T00:21:13.163Z</dcterms:modified>
</cp:coreProperties>
</file>

<file path=docProps/custom.xml><?xml version="1.0" encoding="utf-8"?>
<Properties xmlns="http://schemas.openxmlformats.org/officeDocument/2006/custom-properties" xmlns:vt="http://schemas.openxmlformats.org/officeDocument/2006/docPropsVTypes"/>
</file>