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Recurso Extraordinário .</w:t>
      </w:r>
    </w:p>
    <w:p>
      <w:r>
        <w:rPr>
          <w:b/>
          <w:bCs/>
        </w:rPr>
        <w:t xml:space="preserve">Tribunal: </w:t>
      </w:r>
      <w:r>
        <w:t xml:space="preserve">STF</w:t>
      </w:r>
    </w:p>
    <w:p/>
    <w:p>
      <w:r>
        <w:t xml:space="preserve">INDENIZAÇÃO POR EXTRAVIO DE BAGAGEM</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reparação civil em que colide com ....., à presença de Vossa Excelência propor ALEGAÇÕES FINAIS pelos motivos de fato e de direito a seguir aduzidos. DOS FATOS Em data de .../.../... o autor realizou uma viagem aérea através da empresa-ré, saindo de ..... com destino à ..... Chegando ao destino-......., verificou que sua bagagem havia sido extraviada e, comunicando a empresa -ré, esta não soube lhe informar o que havia acontecido. Em decorrência deste extravio o autor ficou sem seus objetos particulares, em especial uma câmera fotográfica ......., modelo ...., no valor de R$ .... e uma jaqueta ....., no valor de R$.... Passados mais de ... meses a empresa-ré devolveu a mala extraviada, porém violada, sem a máquina fotográfica e a jaqueta acima descritas, causando prejuízo ao autor, além de inúmeros transtornos decorrentes do extravio. O autor então pleiteou junto a empresa-ré a devolução dos objetos furtados e um ressarcimento pelas avarias causadas na mala, sendo no entanto negado por esta. Não obtendo sucesso de forma amigável, restou ao autor somente a tutela jurisdicional para reparar os danos materiais e morais causados pela empresa-ré. Distribuído e autuado os presentes autos, foi designada audiência de conciliação em data de .../.../..., que resultou negativa, e estabeleceu como ponto controvertido "a questão da violação da bagag em do autor de responsabilidade da ré, bem como a existência do efetivo dano, quando vários objetos do autor teriam desaparecido da mala violada". Formalizada a relação processual, a empresa-ré ..... apresentou contestação (fls. ...) aduzindo preliminarmente: a) carência da ação por não provar o autor a existência dos objetos reclamados dentro da mala; b) denunciado da lide à seguradora ......; e quanto ao mérito: c) danos materiais - admitiu a responsabilidade objetiva de indenizar, mas mencionou a prevalência da aplicação do Código Brasileiro de Aeronáutica sobre o Código de Defesa do Consumidor, onde a responsabilidade de indenizar por perda ou extravio de bagagem limita-se no valor de 150 OTNs; d) danos morais - não cabimento por não ficar demostrado o efetivo por parte do autor. A litisdenunciada ....... também apresentou contestação (fls. ...) alegando: a) a existência do contrato de seguro com a ..., cujo valor da apólice em caso de danos com bagagens limita-se em R$ ...; b) não cobertura da apólice em caso de danos morais; c) que o valor pleiteado pelo autor por dano patrimonial não restou provado através de notas fiscais ou outros documentos idôneos; d) ausência de dano moral e que o valor pretendido pelo autor é totalmente descabido. Após as contestações apresentadas, foi realizada em data de .../.../... audiência de instrução e julgamento, onde resultou negativa a conciliação, foi ouvida uma única testemunha arrolada pelo autor, e em seguida designando data para apresentação de alegações finais por memoriais. DO DIREITO O Código de Defesa do Consumidor tem a finalidade de proteger o consumidor, enquanto este é o agente mais vulnerável da relação de consumo, buscando o equilíbrio de tal relação. A referida finalidade atende aos mandamentos constitucionais do art. 5º, XXXII, que inclui, entre os direitos fundamentais, a proteção ao consumidor, e do art. 170, que considera princípio da ordem econômica brasileira a defesa d o consumidor. Ademais, o CDC estabelece, em seu art. 6º, inciso VI: " Art. 6º. São direitos básicos do consumidor: (...) VI - a efetiva prevenção e reparação de danos patrimoniais e morais, individuais, coletivos e difusos;" O citado artigo complementa-se com o art. 14 do mesmo diploma legal: "Art. 14. O fornecedor de serviços responde, independentemente da existência de culpa, pela reparação dos danos causados aos consumidores por defeitos relativos à prestação de serviços, bem como por informações insuficientes ou inadequadas sobre sua fruição e riscos. Parágrafo primeiro. 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2026-10-26T06:02:06.208Z</dcterms:created>
  <dcterms:modified xsi:type="dcterms:W3CDTF">2026-10-26T06:02:06.208Z</dcterms:modified>
</cp:coreProperties>
</file>

<file path=docProps/custom.xml><?xml version="1.0" encoding="utf-8"?>
<Properties xmlns="http://schemas.openxmlformats.org/officeDocument/2006/custom-properties" xmlns:vt="http://schemas.openxmlformats.org/officeDocument/2006/docPropsVTypes"/>
</file>