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Recurso Extraordinário .</w:t>
      </w:r>
    </w:p>
    <w:p>
      <w:r>
        <w:rPr>
          <w:b/>
          <w:bCs/>
        </w:rPr>
        <w:t xml:space="preserve">Tribunal: </w:t>
      </w:r>
      <w:r>
        <w:t xml:space="preserve">STF</w:t>
      </w:r>
    </w:p>
    <w:p/>
    <w:p>
      <w:r>
        <w:t xml:space="preserve">INDENIZAÇÃO POR EXTRAVIO DE BAGAGEM</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reparação civil em que colide com ....., à presença de Vossa Excelência propor ALEGAÇÕES FINAIS pelos motivos de fato e de direito a seguir aduzidos. DOS FATOS Em data de .../.../... o autor realizou uma viagem aérea através da empresa-ré, saindo de ..... com destino à ..... Chegando ao destino-......., verificou que sua bagagem havia sido extraviada e, comunicando a empresa -ré, esta não soube lhe informar o que havia acontecido. Em decorrência deste extravio o autor ficou sem seus objetos particulares, em especial uma câmera fotográfica ......., modelo ...., no valor de R$ .... e uma jaqueta ....., no valor de R$.... Passados mais de ... meses a empresa-ré devolveu a mala extraviada, porém violada, sem a máquina fotográfica e a jaqueta acima descritas, causando prejuízo ao autor, além de inúmeros transtornos decorrentes do extravio. O autor então pleiteou junto a empresa-ré a devolução dos objetos furtados e um ressarcimento pelas avarias causadas na mala, sendo no entanto negado por esta. Não obtendo sucesso de forma amigável, restou ao autor somente a tutela jurisdicional para reparar os danos materiais e morais causados pela empresa-ré. Distribuído e autuado os presentes autos, foi designada audiência de conciliação em data de .../.../..., que resultou negativa, e estabeleceu como ponto controvertido "a questão da violação da bagag em do autor de responsabilidade da ré, bem como a existência do efetivo dano, quando vários objetos do autor teriam desaparecido da mala violada". Formalizada a relação processual, a empresa-ré ..... apresentou contestação (fls. ...) aduzindo preliminarmente: a) carência da ação por não provar o autor a existência dos objetos reclamados dentro da mala; b) denunciado da lide à seguradora ......; e quanto ao mérito: c) danos materiais - admitiu a responsabilidade objetiva de indenizar, mas mencionou a prevalência da aplicação do Código Brasileiro de Aeronáutica sobre o Código de Defesa do Consumidor, onde a responsabilidade de indenizar por perda ou extravio de bagagem limita-se no valor de 150 OTNs; d) danos morais - não cabimento por não ficar demostrado o efetivo por parte do autor. A litisdenunciada ....... também apresentou contestação (fls. ...) alegando: a) a existência do contrato de seguro com a ..., cujo valor da apólice em caso de danos com bagagens limita-se em R$ ...; b) não cobertura da apólice em caso de danos morais; c) que o valor pleiteado pelo autor por dano patrimonial não restou provado através de notas fiscais ou outros documentos idôneos; d) ausência de dano moral e que o valor pretendido pelo autor é totalmente descabido. Após as contestações apresentadas, foi realizada em data de .../.../... audiência de instrução e julgamento, onde resultou negativa a conciliação, foi ouvida uma única testemunha arrolada pelo autor, e em seguida designando data para apresentação de alegações finais por memoriais. DO DIREITO O Código de Defesa do Consumidor tem a finalidade de proteger o consumidor, enquanto este é o agente mais vulnerável da relação de consumo, buscando o equilíbrio de tal relação. A referida finalidade atende aos mandamentos constitucionais do art. 5º, XXXII, que inclui, entre os direitos fundamentais, a proteção ao consumidor, e do art. 170, que considera princípio da ordem econômica brasileira a defesa d o consumidor. Ademais, o CDC estabelece, em seu art. 6º, inciso VI: " Art. 6º. São direitos básicos do consumidor: (...) VI - a efetiva prevenção e reparação de danos patrimoniais e morais, individuais, coletivos e difusos;" O citado artigo complementa-se com o art. 14 do mesmo diploma legal: "Art. 14. O fornecedor de serviços responde, independentemente da existência de culpa, pela reparação dos danos causados aos consumidores por defeitos relativos à prestação de serviços, bem como por informações insuficientes ou inadequadas sobre sua fruição e riscos. Parágrafo primeiro. 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2026-09-10T22:12:40.023Z</dcterms:created>
  <dcterms:modified xsi:type="dcterms:W3CDTF">2026-09-10T22:12:40.023Z</dcterms:modified>
</cp:coreProperties>
</file>

<file path=docProps/custom.xml><?xml version="1.0" encoding="utf-8"?>
<Properties xmlns="http://schemas.openxmlformats.org/officeDocument/2006/custom-properties" xmlns:vt="http://schemas.openxmlformats.org/officeDocument/2006/docPropsVTypes"/>
</file>