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w:t>
      </w:r>
    </w:p>
    <w:p/>
    <w:p>
      <w:r>
        <w:t xml:space="preserve">CONTRA-RAZÕES DE APELAÇÃO, EM QUE O RECORRIDO PUGNA PELA MANUTENÇÃO DA IMPROCEDÊNCIA DA AÇÃO MONITÓRIA RELATIVA A SERVIÇOS BANCÁRIOS</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CONTRA-RAZÕES DE APELAÇÃO pelos motivos que seguem anexos, requerendo, para tanto, a posterior remessa ao Egrégio Tribunal competente. Nesses Termos, Pede Deferimento. [Local], [dia] de [mês] de [ano]. [Assinatura do Advogado] [Número de Inscrição na OAB] EGRÉGIO TRIBUNAL DE JUSTIÇA DO ESTADO DO .... ORIGEM: Autos sob n.º .... - ....ª Vara Cível da Comarca de .... Apelante: .... Apelados: .... e outros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CONTRA-RAZÕES DE APELAÇÃO pelos motivos de fato e de direito a seguir aduzidos. CONTRA-RAZÕES Colenda Corte Eméritos julgadores DOS FATOS Vencido na ação monotória que interpôs, o Banco ingressou com recurso de apelação, para que a sentença seja reformada. Entretanto, o recurso trazido pela recorrente em mo mento algum elide a pretensão da recorrida ou afasta os fundamentos da r. sentença proferida pelo d. juízo a quo, tendo em vista a sua falta de amparo e as suas infundadas alegações, quiçá protelatórias. DO DIREITO 1. APLICABILIDADE DO CÓDIGO DE DEFESA DO CONSUMIDOR Os elementos integrantes da relação de consumo estão presentes na espécie, o que implica na aplicação do Código de Defesa do Consumidor (CDC). A recorrente enquadra-se perfeitamente na definição do artigo 3º do CDC. As instituições financeiras são comerciantes de produtos por força do art. 119 do código Comercial e 2º, § 1º da Lei. 6.404/76. Dos produtos que a instituição financeira comercializa - o dinheiro - tem especial relevância, enquanto bem juridicamente consumível, como o são as demais mercadorias em geral. Quanto à natureza dos serviços prestados pela recorrente na situação em exame, o legislador foi expresso ao incluir como objeto da relação de consumo a expressão "natureza bancária", ao conceituar serviço no §2º do art. 3º do CDC. No outro polo da relação encontram-se os recorridos, como consumidores, nos termos da definição do artigo 2º do CDC. São pessoas físicas, tendo adquirido os produtos e serviços da instituição financeira, como destinatários finais, cabendo o ônus de provar o contrário à recorrente, ou seja, de que o dinheiro ou crédito tomado pelos recorridos não foi destinado ao uso final destes. Ademais, as disposições exaradas no CDC são normas de ordem pública, impedindo, portanto, que as partes disciplinem relações de forma diversa aos princípios e comandos dispostos no aludido diploma. A principal conseqüência de uma norma jurídica de ordem pública é a impossibilidade das partes contratantes afastarem sua incidência. Cumpre-nos consignar ainda, os escólios de Cláudia Lima Marques, vazado nos seguintes termos: "A jurisprudência brasileira ainda é tímida em utilizar a autorização legal a que se refere o artigo 6º, inciso V, de modificação da s cláusulas referentes ao preço, com raras exceções, preferindo, face à complexidade do tema, solucionar a lide com decretação da nulidade ou da abusividade de cláusulas acessórias, geralmente cláusulas acessórias de remuneração ou de indexação, sem tocar no verdadeiro problema do equilíbrio financeiro original do negócio." (MARQUES, Cláudia Lima. "Contrato no Código de Defesa do Consumidor", 3ª edição, p. 520). Ainda, consoante ao entendimento esposado, e que sem sombra de dúvidas, encaixa-se perfeitamente no caso em tela, destaca Cláudia Lima Marques, que a norma do artigo 6º do CDC, não alberga a imprevisi</w:t>
      </w:r>
    </w:p>
    <w:p/>
    <w:p>
      <w:pPr>
        <w:pStyle w:val="Heading3"/>
      </w:pPr>
      <w:r>
        <w:rPr>
          <w:i/>
          <w:iCs/>
        </w:rPr>
        <w:t xml:space="preserve">Nota da redação</w:t>
      </w:r>
    </w:p>
    <w:p>
      <w:r>
        <w:rPr>
          <w:i/>
          <w:iCs/>
          <w:color w:val="666666"/>
        </w:rPr>
        <w:t xml:space="preserve">jurisprudência brasileira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2026-06-17T14:14:19.669Z</dcterms:created>
  <dcterms:modified xsi:type="dcterms:W3CDTF">2026-06-17T14:14:19.669Z</dcterms:modified>
</cp:coreProperties>
</file>

<file path=docProps/custom.xml><?xml version="1.0" encoding="utf-8"?>
<Properties xmlns="http://schemas.openxmlformats.org/officeDocument/2006/custom-properties" xmlns:vt="http://schemas.openxmlformats.org/officeDocument/2006/docPropsVTypes"/>
</file>