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INSTITUIÇÃO FINANCEIRA</w:t>
      </w:r>
    </w:p>
    <w:p>
      <w:r>
        <w:rPr>
          <w:i/>
          <w:iCs/>
          <w:color w:val="666666"/>
        </w:rPr>
        <w:t xml:space="preserve">CÓDIGO DE DEFESA DO CONSUMIDOR</w:t>
      </w:r>
    </w:p>
    <w:p/>
    <w:p>
      <w:r>
        <w:rPr>
          <w:b/>
          <w:bCs/>
        </w:rPr>
        <w:t xml:space="preserve">Recurso: </w:t>
      </w:r>
      <w:r>
        <w:t xml:space="preserve">apelação 70002065662</w:t>
      </w:r>
    </w:p>
    <w:p/>
    <w:p>
      <w:r>
        <w:t xml:space="preserve">INAPLICABILIDADE DA TABELA PRICE EM FINANCIAMENTO DE IMÓVEL</w:t>
      </w:r>
    </w:p>
    <w:p/>
    <w:p>
      <w:pPr>
        <w:pStyle w:val="Heading2"/>
      </w:pPr>
      <w:r>
        <w:rPr>
          <w:b/>
          <w:bCs/>
        </w:rPr>
        <w:t xml:space="preserve">Ementa</w:t>
      </w:r>
    </w:p>
    <w:p>
      <w:r>
        <w:t xml:space="preserve">EXMO. SR. DR. JUIZ DE DIREITO DA ..... VARA CÍVEL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RECONVENÇÃO COM PEDIDO DE ANTECIPAÇÃO DE TUTELA em face de ....., pessoa jurídica de direito privado, inscrita no CNPJ sob o n.º ....., com sede na Rua ....., n.º ....., Bairro ......, Cidade ....., Estado ....., CEP ....., representada neste ato por seu (sua) sócio(a) gerente Sr. (a). ....., brasileiro (a), (estado civil), profissional da área de ....., portador (a) do CIRG nº ..... e do CPF n.º ....., pelos motivos de fato e de direito a seguir aduzidos. DOS FATOS Os reconvintes firmaram instrumento particular de promessa de compra e venda com a reconvinda (documento anexo), visando aquisição de imóvel - unidade autônoma do empreendimento imobiliário denominado ......, a ser construído pela reconvinda. Referido contrato estipulou o preço do bem adquirido - R$ ....... - e a forma de correção das parcelas - pelo índice do SINDUSCOM até a entrega das chaves; pelo ICP após a entrega, acrescidas de juros de 12% ao ano pelo sistema Tabela Price. Ocorre que, iniciando os pagamentos avençados, os reconvintes não mais suportaram os encargos contratuais, notadamente a vertiginosa escalada dos valores das prestações mensais, haja vista a fórmula de reajuste utilizada pela reconvinda: Tabela Price. Nesse contexto, procuraram resolver a pendência extrajudicialmente, através de renegociação da dívida em patamares justos, sem sucesso. A reconvinda ingressou em juízo pretendendo a rescisão contratual e reintegração na posse do imóvel. Os reconvintes utilizam-se da presente para manter a contratação, mediante intervenção estatal na pessoa do ente judiciário, para fins de adequá-la às normas do Código de Defesa do Consumidor, lei que rege a relação jurídica em apreço, embasando seu pleito nos fundamentos jurídicos a seguir expostos: DO DIREITO I. A relação havida entre as partes A quebra de princípios instituídos pelo Código de Defesa do Consumidor A Lei 8078/90 que instituiu o Código de Defesa do Consumidor, obedecendo a preceito constitucional (art. 5º, XXXII), regula as relações jurídicas havidas entre fornecedores e consumidores, traçando princípios basilares nos quais se funda a sistemática das relações de consumo, definindo, já em seus primeiros dispositivos, as pessoas que integram o negócio jurídico: "Art. 2º Consumidor é toda pessoa física ou jurídica que adquire ou utiliza produto ou serviço como destinatário final" (caput) "Art. 3º Fornecedor é toda pessoa física ou jurídica, pública ou privada, nacional ou estrangeira, bem como os entes despersonalizados, que desenvolvem atividades de produção, montagem, criação, construção ou comercialização de produtos ou prestação de serviços" (caput) Destacamos Depreende-se, da letra da lei, que a relação havida entre as partes se enquadra no sistema abrangido pelo Diploma Consumerista, os reconvintes na condição de adquirentes do produto produzido pela reconvinda, a qual é fornecedora nos termos do CDC. Uma vez definida a relação que envolve as partes, remetemo-nos aos princípios que a regem, insculpidos, dentre outros dispositivos, no artigo 4º, III, da Lei 8078/90: "A Política Nacional das Relações de Consumo tem por objetivo o atendimento das necessidades dos consumidores, o respeito à sua dignidade, saúde e segurança, a proteção de seus interesses econômicos, bem como a transparência e harmonia das relações de consumo, atendidos os seguintes princípios: (...) III - a harmonização dos interesses dos participantes da relação de consumo e compatibilização da proteção do consumidor com a necessidade de desenvolvimento econômico e tecnológico, de modo a viabilizar os princípios nos quais se funda a ordem econômica (art. 170, da Constituição Federal), sempre com base na boa-fé e equilíbrio nas relações entre consumidores e fornecedores" Destaque nosso Uma simples leitura do dispositivo acima transcrito nos aponta a quebra de três princípios norteadores da relação de consumo: transparência, boa-fé</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2026-09-11T00:12:56.718Z</dcterms:created>
  <dcterms:modified xsi:type="dcterms:W3CDTF">2026-09-11T00:12:56.718Z</dcterms:modified>
</cp:coreProperties>
</file>

<file path=docProps/custom.xml><?xml version="1.0" encoding="utf-8"?>
<Properties xmlns="http://schemas.openxmlformats.org/officeDocument/2006/custom-properties" xmlns:vt="http://schemas.openxmlformats.org/officeDocument/2006/docPropsVTypes"/>
</file>