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AÇÃO REVISIONAL DE CLÁUSULA</w:t>
      </w:r>
    </w:p>
    <w:p/>
    <w:p>
      <w:r>
        <w:rPr>
          <w:b/>
          <w:bCs/>
        </w:rPr>
        <w:t xml:space="preserve">Recurso: </w:t>
      </w:r>
      <w:r>
        <w:t xml:space="preserve">re -</w:t>
      </w:r>
    </w:p>
    <w:p/>
    <w:p>
      <w:r>
        <w:t xml:space="preserve">CÓDIGO DE DEFESA DO CONSUMIDOR — ALEGAÇÕES FINAIS EM AÇÃO REVISIONAL DE CONTRATO DE LEASING - APLICAÇÃO</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RAZÕES FINAIS pelos motivos de fato e de direito a seguir aduzidos. DOS FATOS A autora ingressou com a apresente ação objetivando a revisão das cláusulas insertas nos Contratos de Leasing celebrados com a ré, que dispõem sobre o reajuste das prestações pela variação cambial, para que esta seja substituída pela variação INPC a partir de .......... de ........; bem como, para que a ré seja condenada à devolução ou compensação nas parcelas futuras, dos valores pagos a maior em decorrência da incidência da variação cambial. Tal atitude tem como único intento, a restauração do equilíbrio contratual, a fim de que seja restabelecida a proporcionalidade que deve existir entre o valor de mercado dos bens adquiridos e o quantum pago pela autora, consoante ao disposto no art. 6 do CDC. A autora, consumidora de boa fé (art. 4º, I, CDC), celebrou com a ré Contratos de Arrendamentos Mercantis, porém, caberia à ré, instituição especializada, em condição privilegiada de acesso às informações, advertir e informar dos enormes riscos assumidos pela autora, ao optar pela cláusula de variação cambial, de acordo com o disposto nos artigos 14 e 52 do CDC. DO DIREITO Tentou inutilmente a ré, descaracterizar a natureza comercial do contrato de leasing. Porém, as alegações da ré não podem prosperar, uma vez que a empresa de leasing, ao ad quirir o bem e repassá-la ao cliente, vincula-se totalmente ao destinatário final, ou seja, ao cliente, e a definição do seu serviço é exatamente enquadrada no artigo 3º, § 2º do Código de Defesa do Consumidor. As instituições financeiras que insistentemente, alegam a inaplicabilidade do Código de Defesa do Consumidor sobre os contratos de financiamento, sucumbiram diante da posição do Judiciário, que é uníssona quanto ao atrelamento de tais contratos às regras restritivas do diploma legal em comento. Cumpre-nos consignar ainda, o escólio de Cláudia Lima Marques, vazado nos seguintes termos: "A jurisprudência brasileira ainda é tímida em utilizar a autorização legal a que se refere o artigo 6º, inciso V, de modificação das cláusulas referentes ao preço, com raras exceções, preferindo, face a complexidade do tema, solucionar a lide com decretação da nulidade ou da abusividade de cláusulas acessórias, geralmente cláusulas acessórias de remuneração ou de indexação, sem tocar no verdadeiro problema do equilíbrio financeiro original do negócio." (MARQUES, Cláudia Lima. "Contrato no Código de Defesa do Consumidor", 3ª edição, p. 520). Ainda, como bem destaca Cláudia Lima Marques, cumpre observar que a norma do artigo 6º do CDC, não alberga a imprevisibilidade apenas, mas, também a onerosidade excessiva por motivo superveniente, mesmo previsível, como elemento apto a determinar a quebra do equilíbrio contratual, merecendo proteção correspondente: "a norma do artigo 6º do CDC avança ao não exigir que o fato superveniente seja imprevisível ou irresistível, apenas exige a quebra da base objetiva do negócio, a quebra de seu equilíbrio intrínseco, a destruição da relação de equivalência entre prestações, ao desaparecimento do fim essencial do contrato. Em outras palavras, o elemento autorizador da ação modificadora do Judiciário é o resultado objetivo da engenharia contratual, que agora apresenta a mencionada onerosidade excessiva para o consumidor, re sultado de simples fato superveniente, fato que não necessita ser extraordinário, irresistível, fato que podia ser previsto e não foi." (Ob. Cit. P. 413). Sendo assim, como decorrência da vertiginosa alta experimentada pelo dólar americano em face à moeda nacional, indisputável que a estipulação contratual guerreada não pode mais prevalecer, por caracterizar onerosidade em demasia, alterando substancialmente as bases do negócio jurídico, em nível insuportável, fato que por si só, autoriza a pretendida revisão da cláusula que determina a correção monetária pela variação</w:t>
      </w:r>
    </w:p>
    <w:p/>
    <w:p>
      <w:pPr>
        <w:pStyle w:val="Heading3"/>
      </w:pPr>
      <w:r>
        <w:rPr>
          <w:i/>
          <w:iCs/>
        </w:rPr>
        <w:t xml:space="preserve">Nota da redação</w:t>
      </w:r>
    </w:p>
    <w:p>
      <w:r>
        <w:rPr>
          <w:i/>
          <w:iCs/>
          <w:color w:val="666666"/>
        </w:rPr>
        <w:t xml:space="preserve">jurisprudência brasileira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2026-06-17T14:06:18.117Z</dcterms:created>
  <dcterms:modified xsi:type="dcterms:W3CDTF">2026-06-17T14:06:18.117Z</dcterms:modified>
</cp:coreProperties>
</file>

<file path=docProps/custom.xml><?xml version="1.0" encoding="utf-8"?>
<Properties xmlns="http://schemas.openxmlformats.org/officeDocument/2006/custom-properties" xmlns:vt="http://schemas.openxmlformats.org/officeDocument/2006/docPropsVTypes"/>
</file>