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AÇÃO REVISIONAL DE CLÁUSULA</w:t>
      </w:r>
    </w:p>
    <w:p/>
    <w:p>
      <w:r>
        <w:rPr>
          <w:b/>
          <w:bCs/>
        </w:rPr>
        <w:t xml:space="preserve">Recurso: </w:t>
      </w:r>
      <w:r>
        <w:t xml:space="preserve">re -</w:t>
      </w:r>
    </w:p>
    <w:p/>
    <w:p>
      <w:r>
        <w:t xml:space="preserve">CÓDIGO DE DEFESA DO CONSUMIDOR — ALEGAÇÕES FINAIS EM AÇÃO REVISIONAL DE CONTRATO DE LEASING - APLICAÇÃO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RAZÕES FINAIS pelos motivos de fato e de direito a seguir aduzidos. DOS FATOS A autora ingressou com a apresente ação objetivando a revisão das cláusulas insertas nos Contratos de Leasing celebrados com a ré, que dispõem sobre o reajuste das prestações pela variação cambial, para que esta seja substituída pela variação INPC a partir de .......... de ........; bem como, para que a ré seja condenada à devolução ou compensação nas parcelas futuras, dos valores pagos a maior em decorrência da incidência da variação cambial. Tal atitude tem como único intento, a restauração do equilíbrio contratual, a fim de que seja restabelecida a proporcionalidade que deve existir entre o valor de mercado dos bens adquiridos e o quantum pago pela autora, consoante ao disposto no art. 6 do CDC. A autora, consumidora de boa fé (art. 4º, I, CDC), celebrou com a ré Contratos de Arrendamentos Mercantis, porém, caberia à ré, instituição especializada, em condição privilegiada de acesso às informações, advertir e informar dos enormes riscos assumidos pela autora, ao optar pela cláusula de variação cambial, de acordo com o disposto nos artigos 14 e 52 do CDC. DO DIREITO Tentou inutilmente a ré, descaracterizar a natureza comercial do contrato de leasing. Porém, as alegações da ré não podem prosperar, uma vez que a empresa de leasing, ao ad quirir o bem e repassá-la ao cliente, vincula-se totalmente ao destinatário final, ou seja, ao cliente, e a definição do seu serviço é exatamente enquadrada no artigo 3º, § 2º do Código de Defesa do Consumidor. As instituições financeiras que insistentemente, alegam a inaplicabilidade do Código de Defesa do Consumidor sobre os contratos de financiamento, sucumbiram diante da posição do Judiciário, que é uníssona quanto ao atrelamento de tais contratos às regras restritivas do diploma legal em comento. Cumpre-nos consignar ainda, o escólio de Cláudia Lima Marques, vazado nos seguintes termos: "A jurisprudência brasileira ainda é tímida em utilizar a autorização legal a que se refere o artigo 6º, inciso V, de modificação das cláusulas referentes ao preço, com raras exceções, preferindo, face a complexidade do tema, solucionar a lide com decretação da nulidade ou da abusividade de cláusulas acessórias, geralmente cláusulas acessórias de remuneração ou de indexação, sem tocar no verdadeiro problema do equilíbrio financeiro original do negócio." (MARQUES, Cláudia Lima. "Contrato no Código de Defesa do Consumidor", 3ª edição, p. 520). Ainda, como bem destaca Cláudia Lima Marques, cumpre observar que a norma do artigo 6º do CDC, não alberga a imprevisibilidade apenas, mas, também a onerosidade excessiva por motivo superveniente, mesmo previsível, como elemento apto a determinar a quebra do equilíbrio contratual, merecendo proteção correspondente: "a norma do artigo 6º do CDC avança ao não exigir que o fato superveniente seja imprevisível ou irresistível, apenas exige a quebra da base objetiva do negócio, a quebra de seu equilíbrio intrínseco, a destruição da relação de equivalência entre prestações, ao desaparecimento do fim essencial do contrato. Em outras palavras, o elemento autorizador da ação modificadora do Judiciário é o resultado objetivo da engenharia contratual, que agora apresenta a mencionada onerosidade excessiva para o consumidor, re sultado de simples fato superveniente, fato que não necessita ser extraordinário, irresistível, fato que podia ser previsto e não foi." (Ob. Cit. P. 413). Sendo assim, como decorrência da vertiginosa alta experimentada pelo dólar americano em face à moeda nacional, indisputável que a estipulação contratual guerreada não pode mais prevalecer, por caracterizar onerosidade em demasia, alterando substancialmente as bases do negócio jurídico, em nível insuportável, fato que por si só, autoriza a pretendida revisão da cláusula que determina a correção monetária pela variação</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2026-10-26T04:58:38.358Z</dcterms:created>
  <dcterms:modified xsi:type="dcterms:W3CDTF">2026-10-26T04:58:38.358Z</dcterms:modified>
</cp:coreProperties>
</file>

<file path=docProps/custom.xml><?xml version="1.0" encoding="utf-8"?>
<Properties xmlns="http://schemas.openxmlformats.org/officeDocument/2006/custom-properties" xmlns:vt="http://schemas.openxmlformats.org/officeDocument/2006/docPropsVTypes"/>
</file>