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"LEASING"</w:t>
      </w:r>
    </w:p>
    <w:p>
      <w:r>
        <w:rPr>
          <w:i/>
          <w:iCs/>
          <w:color w:val="666666"/>
        </w:rPr>
        <w:t xml:space="preserve">AÇÃO REVISIONAL DE CLÁUSULA</w:t>
      </w:r>
    </w:p>
    <w:p/>
    <w:p>
      <w:r>
        <w:rPr>
          <w:b/>
          <w:bCs/>
        </w:rPr>
        <w:t xml:space="preserve">Tribunal: </w:t>
      </w:r>
      <w:r>
        <w:t xml:space="preserve">STJ</w:t>
      </w:r>
    </w:p>
    <w:p/>
    <w:p>
      <w:r>
        <w:t xml:space="preserve">MANIFESTAÇÃO ACERCA DA DEFESA EM EMBARGOS À EXECUÇÃO</w:t>
      </w:r>
    </w:p>
    <w:p/>
    <w:p>
      <w:pPr>
        <w:pStyle w:val="Heading2"/>
      </w:pPr>
      <w:r>
        <w:rPr>
          <w:b/>
          <w:bCs/>
        </w:rPr>
        <w:t xml:space="preserve">Ementa</w:t>
      </w:r>
    </w:p>
    <w:p>
      <w:r>
        <w:t xml:space="preserve">EXMO. SR. DR. JUIZ DE DIREITO DA ..... VARA CÍVEL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contende com ....., à presença de Vossa Excelência propor MANIFESTAÇÃO ACERCA DA DEFESA EM EMBARGOS À EXECUÇÃO pelos motivos de fato e de direito a seguir aduzidos. PRELIMINARMENTE A alegação de não demonstração da forma de realização de cálculos, não restou sanada pelo embargado. Como exposto, a lei processual dispõe que a parte deverá promover execução, instruindo o pedido com a memória discriminada e atualizada do cálculo. A embargada apenas disse "..que o documento de fls. ...... da execução aplicado ao contratado pelas partes no Instrumento Particular de Confissão de Dívida se completam...". Se a lei determina que deverá ser apresentada "memória discriminada e atualizada do cálculo" quando da execução, "uma simples leitura" nos documentos citados pelo embargado, não atendem o pré-requisito. Desta forma, reitera-se o pedido de extinção do feito com base no artigo 267 do CPC. DO MÉRITO DOS FATOS Diz o embargado que os embargantes discordam do valor de R$ ........, mas que resta incontroverso o valor de R$ ....... não podendo ser discutido em sede de embargos. Ora, em momento algum os embargantes aceitam o valor de R$ ....... como devido, muito pelo contrário, contestam veementemente ambos valores, tanto é que interpuseram os presentes embargos, a peça inicial e seus documentos comprovam a não aceitação. Os embargantes req uereram também, que o embargado apresentasse todos os extratos bancários, demonstrativos e outras transações financeiras efetivadas que deram origem ao contrato injustamente executado. Com estes elementos, melhor se comprovarão as abusividades e vícios apresentados, assim, não há como falar em aceitação alguma. Faltando maiores argumentos, o embargado diz ainda que nada há a nulificar o contrato em tela, bem como este não é uma espécie de contrato de adesão. Porém, somente alega, nada prova, ao contrário dos embargantes, que comprovam suas robustas alegações. O fato de o contrato discutido não ter sido simplesmente impresso no papel do Banco embargado, não descaracteriza a sua condição de contrato de adesão, uma vez que todos, absolutamente todos os seus elementos foram apresentados e impostos pela instituição financeira, a qual, prevaleceu-se da situação de desigualdade apresentada à época da assinatura do mesmo. DO DIREITO Temos então, por este e outros motivos, a obrigatoriedade de se discutir o contrato em tela sob a ótica do Código de Defesa do Consumidor. Vale a pena citar o entendimento de Nelson Nery Júnior, acerca do tema: "Os bancos são comerciantes de produtos (art. 119, do Código Comercial; art. 2º § 1º da Lei das S/A) e também prestadores de serviços, de sorte que sempre são considerados fornecedores para o CDC (art. 3º, caput, para o BANCO COMERCIANTE DE PRODUTOS, e art. 3º § 2º, para o BANCO PRESTADOR DE SERVIÇOS). Do outro lado encontram-se os embargantes, como consumidores, nos termos da definição do artigo 2º do CDC. Ademais este entendimento já é pacífico, sendo que o STJ já se pronunciou acerca do tema, entendendo que o CDC é aplicável às relações de consumo originárias de contratos bancários, enfatizando a finalidade social da legislação. Realmente é o que se busca com a presente medida, é imperioso verificar-mos a relação de consumo originária, que injustamente deu origem ao abusivo contrato discutido. Diz o embargado que "a petição apresentada pelo procurador dos embargantes não passa de mera cópia dos laudos elaborados pelo contador... mostrando-se evidente a intenção procrastinatória dos embargantes." Após, chama este fato de lamentável. Pelo visto não faltam somente argumentos para o embargado, como também lhe falta atenção. Como podemos facilmente verificar, às folhas 04 usque, 4º parágrafo, os embargantes assim manifestam-se: "Pois bem, para um perfeito entendimento acerca da matéria e contribuição do saber, abaixo segue o resultado da análise efetivada." Então, temos que a petição 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2026-10-26T05:58:53.621Z</dcterms:created>
  <dcterms:modified xsi:type="dcterms:W3CDTF">2026-10-26T05:58:53.621Z</dcterms:modified>
</cp:coreProperties>
</file>

<file path=docProps/custom.xml><?xml version="1.0" encoding="utf-8"?>
<Properties xmlns="http://schemas.openxmlformats.org/officeDocument/2006/custom-properties" xmlns:vt="http://schemas.openxmlformats.org/officeDocument/2006/docPropsVTypes"/>
</file>