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 -</w:t>
      </w:r>
    </w:p>
    <w:p>
      <w:r>
        <w:rPr>
          <w:b/>
          <w:bCs/>
        </w:rPr>
        <w:t xml:space="preserve">Tribunal: </w:t>
      </w:r>
      <w:r>
        <w:t xml:space="preserve">TJRJ</w:t>
      </w:r>
    </w:p>
    <w:p>
      <w:r>
        <w:rPr>
          <w:b/>
          <w:bCs/>
        </w:rPr>
        <w:t xml:space="preserve">Relator: </w:t>
      </w:r>
      <w:r>
        <w:t xml:space="preserve">Carlos Alberto Menezes</w:t>
      </w:r>
    </w:p>
    <w:p/>
    <w:p>
      <w:r>
        <w:t xml:space="preserve">INDENIZAÇÃO POR DANOS MORAIS — CADASTRO EM BANCO DE INADIMPLENTES</w:t>
      </w:r>
    </w:p>
    <w:p/>
    <w:p>
      <w:pPr>
        <w:pStyle w:val="Heading2"/>
      </w:pPr>
      <w:r>
        <w:rPr>
          <w:b/>
          <w:bCs/>
        </w:rPr>
        <w:t xml:space="preserve">Ementa</w:t>
      </w:r>
    </w:p>
    <w:p>
      <w:r>
        <w:t xml:space="preserve">EXMO. SR. DR. JUIZ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DANOS MORAIS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No mês de ..... de ...., a requerente comunicou a .........., que não havia solicitado a ligação de qualquer linha telefonica em seu nome, cujo protocolo fornecido pela requerida foi de número .......; informando ainda, que o seu nome encontrava-se inserido no cadastro do SCPC e a sua cédula de identidade havia sido furtada; recebendo a informação da atendente que estariam verificando o ocorrido e retornariam a ligação. Por diversas vezes a requerente voltou a ligar para a concessionária sem obter qualquer retorno das ligações ou quais as providências adequadas a serem tomadas para solucionar a situação humilhante de ter o seu nome inserido no cadastro dos inadimplentes do SCPC. (Serviço Central de Proteção ao Crédito). Desesperada, a requerente que leva todos os seus compromissos ao pé da letra, e queria efetuar compras para o Natal, no mês de ......................., foi informada que seu nome con tinuava no referido Banco de Dados. Os familiares e colegas que a acompanharam, são testemunhas fiéis do estado transtornado em que se encontrava a autora. Inconformada com o constrangimento desmerecido e infundado, consistente da injuria contida na inclusão indevida de seu nome no rol do Serviço de Proteção ao Crédito, vendo-se impedida de utilizar o seu "bom nome" e financiar compras no comércio, a autora, busca a composição do dano moral (ilícito puro) sofrido por abalo de crédito. Ocorre que até o mês de ........ de ............, a concessionária não havia solicitado a baixa do nome da autora junto ao cadastro de inadimplentes do SCPC, ocasião, em que fez nova solicitação, desta vez recebendo o protocolo de número ..............., também enviando cópia de todos os documentos necessários (Boletim de Ocorrência; missiva informando que o seu nome continuava no SCPC; indicação do SCPC, e demais documentos cujas cópias encontram-se em anexo) para novas averigüações por parte da requerida, sem que até a presente data tivesse obtido qualquer solução para baixa do seu nome do SCPC. DO DIREITO Dano moral é: "A ofensa ou violação que não vem ferir bens patrimoniais, proporcionalmente ditos, de uma pessoa, mas seus bens de ordem moral, tais sejam os que se referem à liberdade, sua honra, à sua pessoa ou à sua família. (De Plácido e Silva, in VOCABULÁRIO..., Forense)." Neste sentido, aponta a jurisprudência: "Lição de Aguiar Dias: o dano moral é o efeito não patrimonial da lesão de direito e não a própria lesão abstratamente considerada. Lição de Savatier: dano moral é todo sofrimento humano que não é causado por uma perda pecuniária. Lição de Pontes de Miranda: nos danos morais, a esfera ética da pessoa é que é ofendida; o dano não patrimonial é o que, só atingindo o devedor como ser humano, não lhe atinge o patrimônio." (TJRJ. 1A - Ap. - Rel. Carlos Alberto Menezes - Direito, j. 19/11/91 - RDP 185/198). Uma definição bastante simples de dano moral naqueles que produzem dor sem repercussão no patrimônio presente ou futuro do lesado ou independentemente dessa lesão. Cabe ressaltar a essência da Súmula 37 do Superior Tribunal de Justiça: "O dano moral alcança prevalentemente valores ideais, não goza apenas a dor física que geralmente o acompanha, nem se descaracteriza quando simultaneamente ocorrem danos patrimoniais, que podem até consistir numa decorrência de sorte que as duas modalidades se acumulam e têm incidências autônomas." Esta é a colocação jurisprudêncial: "O dano moral pressupõe dor física ou moral, 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2026-07-28T06:45:56.659Z</dcterms:created>
  <dcterms:modified xsi:type="dcterms:W3CDTF">2026-07-28T06:45:56.659Z</dcterms:modified>
</cp:coreProperties>
</file>

<file path=docProps/custom.xml><?xml version="1.0" encoding="utf-8"?>
<Properties xmlns="http://schemas.openxmlformats.org/officeDocument/2006/custom-properties" xmlns:vt="http://schemas.openxmlformats.org/officeDocument/2006/docPropsVTypes"/>
</file>