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 -</w:t>
      </w:r>
    </w:p>
    <w:p>
      <w:r>
        <w:rPr>
          <w:b/>
          <w:bCs/>
        </w:rPr>
        <w:t xml:space="preserve">Tribunal: </w:t>
      </w:r>
      <w:r>
        <w:t xml:space="preserve">TJRJ</w:t>
      </w:r>
    </w:p>
    <w:p>
      <w:r>
        <w:rPr>
          <w:b/>
          <w:bCs/>
        </w:rPr>
        <w:t xml:space="preserve">Relator: </w:t>
      </w:r>
      <w:r>
        <w:t xml:space="preserve">Carlos Alberto Menezes</w:t>
      </w:r>
    </w:p>
    <w:p/>
    <w:p>
      <w:r>
        <w:t xml:space="preserve">INDENIZAÇÃO POR DANOS MORAIS — CADASTRO EM BANCO DE INADIMPLENTES</w:t>
      </w:r>
    </w:p>
    <w:p/>
    <w:p>
      <w:pPr>
        <w:pStyle w:val="Heading2"/>
      </w:pPr>
      <w:r>
        <w:rPr>
          <w:b/>
          <w:bCs/>
        </w:rPr>
        <w:t xml:space="preserve">Ementa</w:t>
      </w:r>
    </w:p>
    <w:p>
      <w:r>
        <w:t xml:space="preserve">EXMO. SR. DR. JUIZ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POR DANOS MORAIS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No mês de ..... de ...., a requerente comunicou a .........., que não havia solicitado a ligação de qualquer linha telefonica em seu nome, cujo protocolo fornecido pela requerida foi de número .......; informando ainda, que o seu nome encontrava-se inserido no cadastro do SCPC e a sua cédula de identidade havia sido furtada; recebendo a informação da atendente que estariam verificando o ocorrido e retornariam a ligação. Por diversas vezes a requerente voltou a ligar para a concessionária sem obter qualquer retorno das ligações ou quais as providências adequadas a serem tomadas para solucionar a situação humilhante de ter o seu nome inserido no cadastro dos inadimplentes do SCPC. (Serviço Central de Proteção ao Crédito). Desesperada, a requerente que leva todos os seus compromissos ao pé da letra, e queria efetuar compras para o Natal, no mês de ......................., foi informada que seu nome con tinuava no referido Banco de Dados. Os familiares e colegas que a acompanharam, são testemunhas fiéis do estado transtornado em que se encontrava a autora. Inconformada com o constrangimento desmerecido e infundado, consistente da injuria contida na inclusão indevida de seu nome no rol do Serviço de Proteção ao Crédito, vendo-se impedida de utilizar o seu "bom nome" e financiar compras no comércio, a autora, busca a composição do dano moral (ilícito puro) sofrido por abalo de crédito. Ocorre que até o mês de ........ de ............, a concessionária não havia solicitado a baixa do nome da autora junto ao cadastro de inadimplentes do SCPC, ocasião, em que fez nova solicitação, desta vez recebendo o protocolo de número ..............., também enviando cópia de todos os documentos necessários (Boletim de Ocorrência; missiva informando que o seu nome continuava no SCPC; indicação do SCPC, e demais documentos cujas cópias encontram-se em anexo) para novas averigüações por parte da requerida, sem que até a presente data tivesse obtido qualquer solução para baixa do seu nome do SCPC. DO DIREITO Dano moral é: "A ofensa ou violação que não vem ferir bens patrimoniais, proporcionalmente ditos, de uma pessoa, mas seus bens de ordem moral, tais sejam os que se referem à liberdade, sua honra, à sua pessoa ou à sua família. (De Plácido e Silva, in VOCABULÁRIO..., Forense)." Neste sentido, aponta a jurisprudência: "Lição de Aguiar Dias: o dano moral é o efeito não patrimonial da lesão de direito e não a própria lesão abstratamente considerada. Lição de Savatier: dano moral é todo sofrimento humano que não é causado por uma perda pecuniária. Lição de Pontes de Miranda: nos danos morais, a esfera ética da pessoa é que é ofendida; o dano não patrimonial é o que, só atingindo o devedor como ser humano, não lhe atinge o patrimônio." (TJRJ. 1A - Ap. - Rel. Carlos Alberto Menezes - Direito, j. 19/11/91 - RDP 185/198). Uma definição bastante simples de dano moral naqueles que produzem dor sem repercussão no patrimônio presente ou futuro do lesado ou independentemente dessa lesão. Cabe ressaltar a essência da Súmula 37 do Superior Tribunal de Justiça: "O dano moral alcança prevalentemente valores ideais, não goza apenas a dor física que geralmente o acompanha, nem se descaracteriza quando simultaneamente ocorrem danos patrimoniais, que podem até consistir numa decorrência de sorte que as duas modalidades se acumulam e têm incidências autônomas." Esta é a colocação jurisprudêncial: "O dano moral pressupõe dor física ou moral, 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2026-10-26T02:00:31.075Z</dcterms:created>
  <dcterms:modified xsi:type="dcterms:W3CDTF">2026-10-26T02:00:31.075Z</dcterms:modified>
</cp:coreProperties>
</file>

<file path=docProps/custom.xml><?xml version="1.0" encoding="utf-8"?>
<Properties xmlns="http://schemas.openxmlformats.org/officeDocument/2006/custom-properties" xmlns:vt="http://schemas.openxmlformats.org/officeDocument/2006/docPropsVTypes"/>
</file>