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ANULAÇÃO DE CONTR COMPRA E VENDA</w:t>
      </w:r>
    </w:p>
    <w:p/>
    <w:p>
      <w:r>
        <w:rPr>
          <w:b/>
          <w:bCs/>
        </w:rPr>
        <w:t xml:space="preserve">Recurso: </w:t>
      </w:r>
      <w:r>
        <w:t xml:space="preserve">re -</w:t>
      </w:r>
    </w:p>
    <w:p>
      <w:r>
        <w:rPr>
          <w:b/>
          <w:bCs/>
        </w:rPr>
        <w:t xml:space="preserve">Tribunal: </w:t>
      </w:r>
      <w:r>
        <w:t xml:space="preserve">STJ</w:t>
      </w:r>
    </w:p>
    <w:p/>
    <w:p>
      <w:r>
        <w:t xml:space="preserve">CLÁUSULAS — CORREÇÃO MONETÁRIA - JUROS CAPITALIZADOS - APLICABILIDADE - NULIDADE</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DECLARATÓRIA DE NULIDADE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Em ........, os Autores celebraram Escritura Pública de Confissão de Dívida com Garantia Hipotecária, conforme documento em anexo, com o Réu, que recebeu aditivo em........, conforme documento em anexo. Como garantias da referida Confissão, foram oferecidos diversos bens, imóveis e móveis de propriedade dos Autores, conforme se verifica no adendo do primeiro Contrato e na cláusula sétima do segundo. Tais Confissões foram efetuadas nas seguintes circunstâncias: em substituição a Cédulas Rurais Pignoratícias (em anexo) existentes , conforme se pode verificar na cláusula primeira do primeiro contrato. Tal evento foi forçado pelo Réu, que não iria fornecer mais empréstimos aos Autores, que são produtores de soja e de milho. Ocorre que, ao assinarem tais contr atos, os Autores foram induzidos a erro, pois concordaram com condições infinitamente favoráveis ao Réu, que os induziu em erro. E mais. A cobrança dos juros em ambos os casos, são previsto pelo contrato como capitalizados, o que é proibido, tanto por lei, como ignorado pelos Tribunais Superiores em nosso país. Estabelecem ainda, que no caso de falta de pagamento de qualquer parcela prevista neste, a dívida tornar-se-á vencida antecipadamente. Neste caso incidirão na cobrança judicial do débito multa contratual, comissão de permanência, juros de mora, além de demais cominações legais. Ocorre que a forma pela qual vêm sendo aplicados os juros está em desacordo com termos legais, sendo que os Autores vêm sendo vítimas de um aumento absurdo dos valores contratuais. Assim, a intenção dos Autores é ter Declarada a Nulidade de ambos os Contratos, haja visto as ilegalidades praticadas pelo Réu quando da confecção de ambos, conforme demonstraremos a seguir. e mais. A Correção Monetária cobrada pelo Réu é ilegal, uma vez que não pode ser cobrada tal correção uma vez que, de acordo com a Lei 7.730, de 31.01.89, em seu art. 16, permite a cobrança de correção, sendo que não é isto que acontece, ou seja, a Correção cobrada é ilegal e deve ser considerada nula a cláusula que prevê tal cobrança, bem como a capitalização dos juros. 1. DA CORREÇÃO MONETÁRIA O crédito rural se acha institucionalizado e sistematizado pela Lei 4.829/65, e regulamentado pelo Decreto 58.380/66. Á época da criação de tal Lei 4.829/65, havia o entendimento de que a Correção Monetária só poderia ser cobrada através de autorização expressa legalmente, arrolando-se em seu texto todos os encargos e ônus a serem criados pelo Conselho Monetário Nacional. Apesar disto, durante o processo de criação da Lei, afastou-se tal possibilidade através da apresentação da Emenda Supressiva nº 9, de autoria do então Deputado Ulisses Guimarães. A partir daí, inexiste Lei que autorize a cobrança da correção monetária no crédito rural. Tentam alegar os Bancos que a Correção não é encargo, mas mera reposição do valor do financiamento, dizendo que não há proibição expressa em lei para a cobrança da correção. Contudo, esquecem eles que a atividade agrícola é uma atividade especial, porquanto não pode o agricultor repassar os custos reais para sua produção, uma vez que o Governo é quem fixa o preço de seus produtos, e não lhes repassa, ano a ano, a desvalorização da moeda. Assim, não pode também exigir correção monetária no crédito rural. Além do que, não se pode esquecer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2026-10-26T02:33:56.307Z</dcterms:created>
  <dcterms:modified xsi:type="dcterms:W3CDTF">2026-10-26T02:33:56.307Z</dcterms:modified>
</cp:coreProperties>
</file>

<file path=docProps/custom.xml><?xml version="1.0" encoding="utf-8"?>
<Properties xmlns="http://schemas.openxmlformats.org/officeDocument/2006/custom-properties" xmlns:vt="http://schemas.openxmlformats.org/officeDocument/2006/docPropsVTypes"/>
</file>