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ANULAÇÃO DE CONTR COMPRA E VENDA</w:t>
      </w:r>
    </w:p>
    <w:p/>
    <w:p>
      <w:r>
        <w:rPr>
          <w:b/>
          <w:bCs/>
        </w:rPr>
        <w:t xml:space="preserve">Recurso: </w:t>
      </w:r>
      <w:r>
        <w:t xml:space="preserve">re -</w:t>
      </w:r>
    </w:p>
    <w:p>
      <w:r>
        <w:rPr>
          <w:b/>
          <w:bCs/>
        </w:rPr>
        <w:t xml:space="preserve">Tribunal: </w:t>
      </w:r>
      <w:r>
        <w:t xml:space="preserve">STF</w:t>
      </w:r>
    </w:p>
    <w:p>
      <w:r>
        <w:rPr>
          <w:b/>
          <w:bCs/>
        </w:rPr>
        <w:t xml:space="preserve">Relator: </w:t>
      </w:r>
      <w:r>
        <w:t xml:space="preserve">Néri da</w:t>
      </w:r>
    </w:p>
    <w:p/>
    <w:p>
      <w:r>
        <w:t xml:space="preserve">IMPUGNAÇÃO À CONTESTAÇÃO EM AÇÃO DE RESCISÃO DE CONTRATO DE COMPRA E VENDA</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à presença de Vossa Excelência apresentar IMPUGNAÇÃO À CONTESTAÇÃO pelos motivos de fato e de direito a seguir aduzidos. PRELIMINARMENTE Em suas alegações a Ré denuncia à lide a empresa .............., sob a alegação de que a mesma teria se subrogado nos direitos e obrigações decorrentes do contrato do Autor e, ao mesmo tempo, alega a necessidade de litisconsórcio necessário, pugnando em razão deste fato pela carência da ação. Verifica-se, no entanto, que a própria Ré teria sanado eventual irregularidade no polo passivo da Ação ao denunciar à lide a empresa ................. Assim sendo, não merece acolhida a pretensão da Ré de extinção do processo por carência da ação, mesmo porque esta confunde condições da ação com pressupostos processuais. Por outro lado, a Ré, ora contestante, afirma que por tratar-se de direito real deveria haver a outorga uxória para a propositura da presente Ação. Contudo, não lhe assiste razão haja vista que o contrato efetuado entre as partes não foi registrado no competente registro imobiliário da transmissão do bem, conforme exige o nosso ordenamento jurídico para a transferência de propriedade de bem imóvel por ato inter vivos (art. 1245 do NCCB). Estabelece o art. 1245 do Novo Código Civil Brasileiro: Art. 1245. Transfere-se entre vivos a propriedade mediante registro do título tran slativo no Registro de Imóveis. Portanto, se não houve a transcrição no registro imobiliário não houve a transmissão da propriedade imóvel e, assim sendo, posto que antes da transcrição, o alienante continua a ser tido como proprietário do imóvel e o adquirente, que se conformou com um simples contrato de compra e venda, ainda que público ou particular, não passa de mero credor, com direito tão-somente a ação pessoal. Neste sentido temos a lição de Maria Helena Diniz em sua obra Código Civil Anotado, São Paulo, Editora Saraiva, 1995(Obs: Doutrina com base no Código Civil de 1916): "Será titular do direito apenas aquele em cujo nome estiver transcrita a propriedade imóvel ou inscrito o ônus real que recair sobre o bem de raiz. ... Sem o registro não se terá qualquer transferência de propriedade. Devem ser, portanto, registrados os seguintes negócios jurídicos, para que se opere a aquisição da propriedade imobiliária: compromisso irretratável de compra e venda, compra e venda, dação em pagamento, doação, permuta, transação em que entre imóvel estranho ao litígio etc. ... Os negócios jurídicos, as sentenças que adjudicarem bens de raiz em pagamento de dívida da herança, as arrematações e adjudicações em hasta pública não são hábeis para transferir, por si, o domínio do imóvel, uma vez que no direito brasileiro, a propriedade apenas transferir-se-á a partir do instante em que o título translativo do domínio for efetivamente registrado na circunscrição imobiliária competente. A data da transferência da propriedade é a data do registro e não a do título."(o grifo é nosso) A jurisprudência pátria tem se mantido firme neste sentido, conforme se depreende dos acórdãos a seguir transcritos, extraídos do Vade Mecum Jurídico Eletrônico: 306023 - EMBARGOS DE TERCEIRO - CESSIONÁRIOS DE DIREITOS DE UM APARTAMENTO PENHORADO EM PROCESSO DE EXECUÇÃO - O bem penhorado estava inscrito em nome do executado, no Registro de Imóveis. Súmula 621. Prom essa de compra e venda de imóvel não inscrita no Registro de Imóveis. Não pode ser desconstituída penhora de imóvel objeto de promessa de compra e venda, se esta, ainda que celebrada anteriormente à penhora, não estiver inscrita. Precedentes do STF. Recurso conhecido e provido, para julgar improcedentes os embargos de terceiro.(STF - RE 107.908-8 - SC - 1ª T. - Rel. Min. Néri da Silveira - DJU 27.10.94) (RJ 208/92) Tanto é assim, que em nenhum momento foi exigida a assinatura da esposa do Autor, quer seja para efetuar o contrato inicial, quer seja para firmar eventuais alterações.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2026-10-26T04:59:44.910Z</dcterms:created>
  <dcterms:modified xsi:type="dcterms:W3CDTF">2026-10-26T04:59:44.910Z</dcterms:modified>
</cp:coreProperties>
</file>

<file path=docProps/custom.xml><?xml version="1.0" encoding="utf-8"?>
<Properties xmlns="http://schemas.openxmlformats.org/officeDocument/2006/custom-properties" xmlns:vt="http://schemas.openxmlformats.org/officeDocument/2006/docPropsVTypes"/>
</file>